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FCC7A" w14:textId="77777777" w:rsidR="008850A9" w:rsidRPr="008850A9" w:rsidRDefault="008850A9" w:rsidP="008850A9">
      <w:pPr>
        <w:spacing w:after="0" w:line="240" w:lineRule="auto"/>
        <w:contextualSpacing/>
        <w:rPr>
          <w:b/>
        </w:rPr>
      </w:pPr>
      <w:bookmarkStart w:id="0" w:name="_GoBack"/>
      <w:bookmarkEnd w:id="0"/>
    </w:p>
    <w:p w14:paraId="6F487152" w14:textId="1DC691B0" w:rsidR="00C646CA" w:rsidRPr="008850A9" w:rsidRDefault="00C646CA" w:rsidP="008850A9">
      <w:pPr>
        <w:spacing w:after="0" w:line="240" w:lineRule="auto"/>
        <w:contextualSpacing/>
        <w:rPr>
          <w:b/>
        </w:rPr>
      </w:pPr>
      <w:r w:rsidRPr="008850A9">
        <w:rPr>
          <w:b/>
        </w:rPr>
        <w:t>OVERVIEW</w:t>
      </w:r>
    </w:p>
    <w:p w14:paraId="68EFD2DA" w14:textId="631E585D" w:rsidR="00D93ED6" w:rsidRPr="008850A9" w:rsidRDefault="00602C3D" w:rsidP="008850A9">
      <w:pPr>
        <w:spacing w:after="0" w:line="240" w:lineRule="auto"/>
        <w:contextualSpacing/>
        <w:rPr>
          <w:rFonts w:cstheme="minorHAnsi"/>
          <w:color w:val="1B1B1B"/>
          <w:shd w:val="clear" w:color="auto" w:fill="FFFFFF"/>
        </w:rPr>
      </w:pPr>
      <w:r w:rsidRPr="008850A9">
        <w:rPr>
          <w:rFonts w:cstheme="minorHAnsi"/>
          <w:color w:val="1B1B1B"/>
          <w:shd w:val="clear" w:color="auto" w:fill="FFFFFF"/>
        </w:rPr>
        <w:t>The Emmett Environmental Law and Policy Clinic at Harvard Law School offers students the opportunity to</w:t>
      </w:r>
      <w:r w:rsidR="000215D3">
        <w:rPr>
          <w:rFonts w:cstheme="minorHAnsi"/>
          <w:color w:val="1B1B1B"/>
          <w:shd w:val="clear" w:color="auto" w:fill="FFFFFF"/>
        </w:rPr>
        <w:t xml:space="preserve"> explore the</w:t>
      </w:r>
      <w:r w:rsidRPr="008850A9">
        <w:rPr>
          <w:rFonts w:cstheme="minorHAnsi"/>
          <w:color w:val="1B1B1B"/>
          <w:shd w:val="clear" w:color="auto" w:fill="FFFFFF"/>
        </w:rPr>
        <w:t xml:space="preserve"> practice</w:t>
      </w:r>
      <w:r w:rsidR="000215D3">
        <w:rPr>
          <w:rFonts w:cstheme="minorHAnsi"/>
          <w:color w:val="1B1B1B"/>
          <w:shd w:val="clear" w:color="auto" w:fill="FFFFFF"/>
        </w:rPr>
        <w:t xml:space="preserve"> of</w:t>
      </w:r>
      <w:r w:rsidRPr="008850A9">
        <w:rPr>
          <w:rFonts w:cstheme="minorHAnsi"/>
          <w:color w:val="1B1B1B"/>
          <w:shd w:val="clear" w:color="auto" w:fill="FFFFFF"/>
        </w:rPr>
        <w:t xml:space="preserve"> environmental law through work on a variety of litigation, administrative, legislative, and policy projects. </w:t>
      </w:r>
      <w:r w:rsidR="00D93ED6" w:rsidRPr="008850A9">
        <w:rPr>
          <w:rFonts w:cstheme="minorHAnsi"/>
          <w:color w:val="1B1B1B"/>
          <w:shd w:val="clear" w:color="auto" w:fill="FFFFFF"/>
        </w:rPr>
        <w:t xml:space="preserve">Clinic offerings include </w:t>
      </w:r>
      <w:r w:rsidRPr="008850A9">
        <w:rPr>
          <w:rFonts w:cstheme="minorHAnsi"/>
          <w:color w:val="1B1B1B"/>
          <w:shd w:val="clear" w:color="auto" w:fill="FFFFFF"/>
        </w:rPr>
        <w:t xml:space="preserve">federal, state, and local level </w:t>
      </w:r>
      <w:r w:rsidR="00D93ED6" w:rsidRPr="008850A9">
        <w:rPr>
          <w:rFonts w:cstheme="minorHAnsi"/>
          <w:color w:val="1B1B1B"/>
          <w:shd w:val="clear" w:color="auto" w:fill="FFFFFF"/>
        </w:rPr>
        <w:t xml:space="preserve">projects covering the spectrum of environmental issues. Depending on the project, students may undertake litigation and advocacy work by drafting briefs, conducting </w:t>
      </w:r>
      <w:r w:rsidR="00A87B00">
        <w:rPr>
          <w:rFonts w:cstheme="minorHAnsi"/>
          <w:color w:val="1B1B1B"/>
          <w:shd w:val="clear" w:color="auto" w:fill="FFFFFF"/>
        </w:rPr>
        <w:t xml:space="preserve">legal </w:t>
      </w:r>
      <w:r w:rsidR="00D93ED6" w:rsidRPr="008850A9">
        <w:rPr>
          <w:rFonts w:cstheme="minorHAnsi"/>
          <w:color w:val="1B1B1B"/>
          <w:shd w:val="clear" w:color="auto" w:fill="FFFFFF"/>
        </w:rPr>
        <w:t>research</w:t>
      </w:r>
      <w:r w:rsidR="00A87B00">
        <w:rPr>
          <w:rFonts w:cstheme="minorHAnsi"/>
          <w:color w:val="1B1B1B"/>
          <w:shd w:val="clear" w:color="auto" w:fill="FFFFFF"/>
        </w:rPr>
        <w:t xml:space="preserve"> and preparing memoranda for clients</w:t>
      </w:r>
      <w:r w:rsidR="00D93ED6" w:rsidRPr="008850A9">
        <w:rPr>
          <w:rFonts w:cstheme="minorHAnsi"/>
          <w:color w:val="1B1B1B"/>
          <w:shd w:val="clear" w:color="auto" w:fill="FFFFFF"/>
        </w:rPr>
        <w:t xml:space="preserve">, developing </w:t>
      </w:r>
      <w:r w:rsidR="00A87B00">
        <w:rPr>
          <w:rFonts w:cstheme="minorHAnsi"/>
          <w:color w:val="1B1B1B"/>
          <w:shd w:val="clear" w:color="auto" w:fill="FFFFFF"/>
        </w:rPr>
        <w:t xml:space="preserve">litigation </w:t>
      </w:r>
      <w:r w:rsidR="00D93ED6" w:rsidRPr="008850A9">
        <w:rPr>
          <w:rFonts w:cstheme="minorHAnsi"/>
          <w:color w:val="1B1B1B"/>
          <w:shd w:val="clear" w:color="auto" w:fill="FFFFFF"/>
        </w:rPr>
        <w:t>strategy</w:t>
      </w:r>
      <w:r w:rsidR="00A87B00">
        <w:rPr>
          <w:rFonts w:cstheme="minorHAnsi"/>
          <w:color w:val="1B1B1B"/>
          <w:shd w:val="clear" w:color="auto" w:fill="FFFFFF"/>
        </w:rPr>
        <w:t xml:space="preserve"> memoranda</w:t>
      </w:r>
      <w:r w:rsidR="00D93ED6" w:rsidRPr="008850A9">
        <w:rPr>
          <w:rFonts w:cstheme="minorHAnsi"/>
          <w:color w:val="1B1B1B"/>
          <w:shd w:val="clear" w:color="auto" w:fill="FFFFFF"/>
        </w:rPr>
        <w:t xml:space="preserve">, and reviewing proposed </w:t>
      </w:r>
      <w:r w:rsidR="00A87B00">
        <w:rPr>
          <w:rFonts w:cstheme="minorHAnsi"/>
          <w:color w:val="1B1B1B"/>
          <w:shd w:val="clear" w:color="auto" w:fill="FFFFFF"/>
        </w:rPr>
        <w:t>regulations</w:t>
      </w:r>
      <w:r w:rsidR="00D93ED6" w:rsidRPr="008850A9">
        <w:rPr>
          <w:rFonts w:cstheme="minorHAnsi"/>
          <w:color w:val="1B1B1B"/>
          <w:shd w:val="clear" w:color="auto" w:fill="FFFFFF"/>
        </w:rPr>
        <w:t>. Students present their work to clients, stakeholders, and decision-makers, including</w:t>
      </w:r>
      <w:r w:rsidR="00A87B00">
        <w:rPr>
          <w:rFonts w:cstheme="minorHAnsi"/>
          <w:color w:val="1B1B1B"/>
          <w:shd w:val="clear" w:color="auto" w:fill="FFFFFF"/>
        </w:rPr>
        <w:t xml:space="preserve"> attorneys and non-attorneys alike.</w:t>
      </w:r>
    </w:p>
    <w:p w14:paraId="60893201" w14:textId="77777777" w:rsidR="00D93ED6" w:rsidRPr="008850A9" w:rsidRDefault="00D93ED6" w:rsidP="008850A9">
      <w:pPr>
        <w:spacing w:after="0" w:line="240" w:lineRule="auto"/>
        <w:contextualSpacing/>
        <w:rPr>
          <w:bCs/>
        </w:rPr>
      </w:pPr>
    </w:p>
    <w:tbl>
      <w:tblPr>
        <w:tblStyle w:val="TableGrid"/>
        <w:tblW w:w="0" w:type="auto"/>
        <w:tblLook w:val="04A0" w:firstRow="1" w:lastRow="0" w:firstColumn="1" w:lastColumn="0" w:noHBand="0" w:noVBand="1"/>
      </w:tblPr>
      <w:tblGrid>
        <w:gridCol w:w="3145"/>
        <w:gridCol w:w="7470"/>
      </w:tblGrid>
      <w:tr w:rsidR="00C646CA" w:rsidRPr="008850A9" w14:paraId="77E7308F" w14:textId="77777777" w:rsidTr="008850A9">
        <w:trPr>
          <w:trHeight w:val="359"/>
        </w:trPr>
        <w:tc>
          <w:tcPr>
            <w:tcW w:w="3145" w:type="dxa"/>
          </w:tcPr>
          <w:p w14:paraId="03BFE6C5" w14:textId="7C0EBAC2" w:rsidR="00C646CA" w:rsidRPr="008850A9" w:rsidRDefault="00C646CA" w:rsidP="008850A9">
            <w:pPr>
              <w:contextualSpacing/>
              <w:rPr>
                <w:b/>
                <w:bCs/>
              </w:rPr>
            </w:pPr>
            <w:r w:rsidRPr="008850A9">
              <w:rPr>
                <w:b/>
                <w:bCs/>
              </w:rPr>
              <w:t>SEMESTER(S) OFFERED</w:t>
            </w:r>
          </w:p>
        </w:tc>
        <w:tc>
          <w:tcPr>
            <w:tcW w:w="7470" w:type="dxa"/>
          </w:tcPr>
          <w:p w14:paraId="7404D187" w14:textId="3ADB8A69" w:rsidR="00971044" w:rsidRPr="008850A9" w:rsidRDefault="00B14459" w:rsidP="008850A9">
            <w:pPr>
              <w:contextualSpacing/>
            </w:pPr>
            <w:r>
              <w:t xml:space="preserve">Fall </w:t>
            </w:r>
            <w:r w:rsidR="008850A9">
              <w:t>or</w:t>
            </w:r>
            <w:r w:rsidR="00D93ED6" w:rsidRPr="008850A9">
              <w:t xml:space="preserve"> Spring</w:t>
            </w:r>
          </w:p>
        </w:tc>
      </w:tr>
      <w:tr w:rsidR="00C646CA" w:rsidRPr="008850A9" w14:paraId="2FB5B711" w14:textId="77777777" w:rsidTr="008850A9">
        <w:tc>
          <w:tcPr>
            <w:tcW w:w="3145" w:type="dxa"/>
          </w:tcPr>
          <w:p w14:paraId="7B3EDC5A" w14:textId="5461E116" w:rsidR="00C646CA" w:rsidRPr="008850A9" w:rsidRDefault="00C646CA" w:rsidP="008850A9">
            <w:pPr>
              <w:contextualSpacing/>
              <w:rPr>
                <w:b/>
                <w:bCs/>
              </w:rPr>
            </w:pPr>
            <w:r w:rsidRPr="008850A9">
              <w:rPr>
                <w:b/>
                <w:bCs/>
              </w:rPr>
              <w:t>CLINICAL COURSE COMPONENT</w:t>
            </w:r>
          </w:p>
        </w:tc>
        <w:tc>
          <w:tcPr>
            <w:tcW w:w="7470" w:type="dxa"/>
          </w:tcPr>
          <w:p w14:paraId="35985305" w14:textId="17F7F73B" w:rsidR="00C646CA" w:rsidRPr="008850A9" w:rsidRDefault="008850A9" w:rsidP="008850A9">
            <w:pPr>
              <w:contextualSpacing/>
              <w:rPr>
                <w:rFonts w:cstheme="minorHAnsi"/>
              </w:rPr>
            </w:pPr>
            <w:r>
              <w:rPr>
                <w:rFonts w:cstheme="minorHAnsi"/>
              </w:rPr>
              <w:t>Environmental Law and Policy Clinical Seminar</w:t>
            </w:r>
          </w:p>
        </w:tc>
      </w:tr>
      <w:tr w:rsidR="00C646CA" w:rsidRPr="008850A9" w14:paraId="478D24ED" w14:textId="77777777" w:rsidTr="008850A9">
        <w:tc>
          <w:tcPr>
            <w:tcW w:w="3145" w:type="dxa"/>
          </w:tcPr>
          <w:p w14:paraId="693CCF41" w14:textId="66CB170B" w:rsidR="00C646CA" w:rsidRPr="008850A9" w:rsidRDefault="00C646CA" w:rsidP="008850A9">
            <w:pPr>
              <w:contextualSpacing/>
              <w:rPr>
                <w:b/>
                <w:bCs/>
              </w:rPr>
            </w:pPr>
            <w:r w:rsidRPr="008850A9">
              <w:rPr>
                <w:b/>
                <w:bCs/>
              </w:rPr>
              <w:t>COURSE CREDITS</w:t>
            </w:r>
          </w:p>
        </w:tc>
        <w:tc>
          <w:tcPr>
            <w:tcW w:w="7470" w:type="dxa"/>
          </w:tcPr>
          <w:p w14:paraId="5CE7E6C6" w14:textId="6A05E7CC" w:rsidR="00971044" w:rsidRPr="008850A9" w:rsidRDefault="00D93ED6" w:rsidP="008850A9">
            <w:pPr>
              <w:contextualSpacing/>
            </w:pPr>
            <w:r w:rsidRPr="008850A9">
              <w:t>1</w:t>
            </w:r>
            <w:r w:rsidR="008850A9">
              <w:t xml:space="preserve"> classroom credit</w:t>
            </w:r>
          </w:p>
        </w:tc>
      </w:tr>
      <w:tr w:rsidR="00C646CA" w:rsidRPr="008850A9" w14:paraId="6E0344E1" w14:textId="77777777" w:rsidTr="008850A9">
        <w:tc>
          <w:tcPr>
            <w:tcW w:w="3145" w:type="dxa"/>
          </w:tcPr>
          <w:p w14:paraId="0CCE80A0" w14:textId="10A0B956" w:rsidR="00C646CA" w:rsidRPr="008850A9" w:rsidRDefault="00C646CA" w:rsidP="008850A9">
            <w:pPr>
              <w:contextualSpacing/>
              <w:rPr>
                <w:b/>
                <w:bCs/>
              </w:rPr>
            </w:pPr>
            <w:r w:rsidRPr="008850A9">
              <w:rPr>
                <w:b/>
                <w:bCs/>
              </w:rPr>
              <w:t>CLINICAL CREDITS</w:t>
            </w:r>
          </w:p>
        </w:tc>
        <w:tc>
          <w:tcPr>
            <w:tcW w:w="7470" w:type="dxa"/>
          </w:tcPr>
          <w:p w14:paraId="69293C82" w14:textId="06CB4F67" w:rsidR="00971044" w:rsidRPr="008850A9" w:rsidRDefault="008850A9" w:rsidP="008850A9">
            <w:pPr>
              <w:contextualSpacing/>
            </w:pPr>
            <w:r>
              <w:t>4 or 5 clinical credits (Fall or Spri</w:t>
            </w:r>
            <w:r w:rsidR="00B14459">
              <w:t>ng)</w:t>
            </w:r>
          </w:p>
        </w:tc>
      </w:tr>
      <w:tr w:rsidR="00C646CA" w:rsidRPr="008850A9" w14:paraId="346BCF30" w14:textId="77777777" w:rsidTr="008850A9">
        <w:tc>
          <w:tcPr>
            <w:tcW w:w="3145" w:type="dxa"/>
          </w:tcPr>
          <w:p w14:paraId="303241C5" w14:textId="6210710D" w:rsidR="00C646CA" w:rsidRPr="008850A9" w:rsidRDefault="00C646CA" w:rsidP="008850A9">
            <w:pPr>
              <w:contextualSpacing/>
              <w:rPr>
                <w:b/>
                <w:bCs/>
              </w:rPr>
            </w:pPr>
            <w:r w:rsidRPr="008850A9">
              <w:rPr>
                <w:b/>
                <w:bCs/>
              </w:rPr>
              <w:t>LOCATION</w:t>
            </w:r>
          </w:p>
        </w:tc>
        <w:tc>
          <w:tcPr>
            <w:tcW w:w="7470" w:type="dxa"/>
          </w:tcPr>
          <w:p w14:paraId="1311FEE2" w14:textId="5DC4E49C" w:rsidR="00C646CA" w:rsidRPr="008850A9" w:rsidRDefault="00D93ED6" w:rsidP="008850A9">
            <w:pPr>
              <w:contextualSpacing/>
            </w:pPr>
            <w:r w:rsidRPr="008850A9">
              <w:t xml:space="preserve">On campus </w:t>
            </w:r>
            <w:r w:rsidR="008850A9">
              <w:t>at HLS</w:t>
            </w:r>
            <w:r w:rsidR="0039452C" w:rsidRPr="008850A9">
              <w:t xml:space="preserve"> </w:t>
            </w:r>
            <w:r w:rsidRPr="008850A9">
              <w:t xml:space="preserve">or </w:t>
            </w:r>
            <w:r w:rsidR="00194FEF" w:rsidRPr="008850A9">
              <w:t>off-site</w:t>
            </w:r>
            <w:r w:rsidRPr="008850A9">
              <w:t xml:space="preserve"> placement</w:t>
            </w:r>
            <w:r w:rsidR="00971044" w:rsidRPr="008850A9">
              <w:t xml:space="preserve"> with Boston area nonprofit and government organizations</w:t>
            </w:r>
            <w:r w:rsidRPr="008850A9">
              <w:t xml:space="preserve"> (made in consultation with Faculty Director)</w:t>
            </w:r>
            <w:r w:rsidR="008850A9">
              <w:t xml:space="preserve">. Remote placements are </w:t>
            </w:r>
            <w:r w:rsidR="00EC678E" w:rsidRPr="008850A9">
              <w:t>possible.</w:t>
            </w:r>
          </w:p>
        </w:tc>
      </w:tr>
      <w:tr w:rsidR="00C646CA" w:rsidRPr="008850A9" w14:paraId="055DF381" w14:textId="77777777" w:rsidTr="008850A9">
        <w:tc>
          <w:tcPr>
            <w:tcW w:w="3145" w:type="dxa"/>
          </w:tcPr>
          <w:p w14:paraId="4A4CFAC8" w14:textId="2BCDF4BE" w:rsidR="00C646CA" w:rsidRPr="008850A9" w:rsidRDefault="00C646CA" w:rsidP="008850A9">
            <w:pPr>
              <w:contextualSpacing/>
              <w:rPr>
                <w:b/>
                <w:bCs/>
              </w:rPr>
            </w:pPr>
            <w:r w:rsidRPr="008850A9">
              <w:rPr>
                <w:b/>
                <w:bCs/>
              </w:rPr>
              <w:t>REGISTRATION TYPE</w:t>
            </w:r>
          </w:p>
        </w:tc>
        <w:tc>
          <w:tcPr>
            <w:tcW w:w="7470" w:type="dxa"/>
          </w:tcPr>
          <w:p w14:paraId="063DA134" w14:textId="46D1CCE1" w:rsidR="00C646CA" w:rsidRPr="008850A9" w:rsidRDefault="00C646CA" w:rsidP="008850A9">
            <w:pPr>
              <w:contextualSpacing/>
              <w:rPr>
                <w:b/>
              </w:rPr>
            </w:pPr>
            <w:r w:rsidRPr="008850A9">
              <w:t xml:space="preserve">Helios </w:t>
            </w:r>
            <w:r w:rsidR="00D93ED6" w:rsidRPr="008850A9">
              <w:t>(Fall and Spr</w:t>
            </w:r>
            <w:r w:rsidR="00B14459">
              <w:t>ing)</w:t>
            </w:r>
          </w:p>
        </w:tc>
      </w:tr>
    </w:tbl>
    <w:p w14:paraId="7057BC07" w14:textId="77777777" w:rsidR="00C646CA" w:rsidRPr="008850A9" w:rsidRDefault="00C646CA" w:rsidP="008850A9">
      <w:pPr>
        <w:spacing w:after="0" w:line="240" w:lineRule="auto"/>
        <w:contextualSpacing/>
        <w:rPr>
          <w:b/>
        </w:rPr>
      </w:pPr>
    </w:p>
    <w:p w14:paraId="24244523" w14:textId="0BE7B1F0" w:rsidR="00602C3D" w:rsidRPr="008850A9" w:rsidRDefault="001A58CD" w:rsidP="008850A9">
      <w:pPr>
        <w:spacing w:after="0" w:line="240" w:lineRule="auto"/>
        <w:contextualSpacing/>
        <w:rPr>
          <w:b/>
        </w:rPr>
      </w:pPr>
      <w:r w:rsidRPr="008850A9">
        <w:rPr>
          <w:b/>
        </w:rPr>
        <w:t>TYPES OF CASES/CLIENTS</w:t>
      </w:r>
      <w:r w:rsidR="00C646CA" w:rsidRPr="008850A9">
        <w:rPr>
          <w:b/>
        </w:rPr>
        <w:t>/PROJECTS</w:t>
      </w:r>
    </w:p>
    <w:p w14:paraId="55E85CC0" w14:textId="64DA4AC1" w:rsidR="00602C3D" w:rsidRPr="008850A9" w:rsidRDefault="00602C3D" w:rsidP="008850A9">
      <w:pPr>
        <w:spacing w:after="0" w:line="240" w:lineRule="auto"/>
        <w:contextualSpacing/>
        <w:rPr>
          <w:rFonts w:cstheme="minorHAnsi"/>
          <w:color w:val="1B1B1B"/>
          <w:shd w:val="clear" w:color="auto" w:fill="FFFFFF"/>
        </w:rPr>
      </w:pPr>
      <w:r w:rsidRPr="008850A9">
        <w:rPr>
          <w:rFonts w:cstheme="minorHAnsi"/>
          <w:color w:val="1B1B1B"/>
          <w:shd w:val="clear" w:color="auto" w:fill="FFFFFF"/>
        </w:rPr>
        <w:t>Clinic projects focus on environment,</w:t>
      </w:r>
      <w:r w:rsidR="000215D3">
        <w:rPr>
          <w:rFonts w:cstheme="minorHAnsi"/>
          <w:color w:val="1B1B1B"/>
          <w:shd w:val="clear" w:color="auto" w:fill="FFFFFF"/>
        </w:rPr>
        <w:t xml:space="preserve"> natural resources,</w:t>
      </w:r>
      <w:r w:rsidRPr="008850A9">
        <w:rPr>
          <w:rFonts w:cstheme="minorHAnsi"/>
          <w:color w:val="1B1B1B"/>
          <w:shd w:val="clear" w:color="auto" w:fill="FFFFFF"/>
        </w:rPr>
        <w:t xml:space="preserve"> energy, public health, and social justice issues. The Clinic works with scientists, medical professionals, nonprofit and public interest organizations,</w:t>
      </w:r>
      <w:r w:rsidR="00963D0A">
        <w:rPr>
          <w:rFonts w:cstheme="minorHAnsi"/>
          <w:color w:val="1B1B1B"/>
          <w:shd w:val="clear" w:color="auto" w:fill="FFFFFF"/>
        </w:rPr>
        <w:t xml:space="preserve"> Native American communities,</w:t>
      </w:r>
      <w:r w:rsidRPr="008850A9">
        <w:rPr>
          <w:rFonts w:cstheme="minorHAnsi"/>
          <w:color w:val="1B1B1B"/>
          <w:shd w:val="clear" w:color="auto" w:fill="FFFFFF"/>
        </w:rPr>
        <w:t xml:space="preserve"> and government clients on </w:t>
      </w:r>
      <w:r w:rsidR="00A87B00">
        <w:rPr>
          <w:rFonts w:cstheme="minorHAnsi"/>
          <w:color w:val="1B1B1B"/>
          <w:shd w:val="clear" w:color="auto" w:fill="FFFFFF"/>
        </w:rPr>
        <w:t>legal</w:t>
      </w:r>
      <w:r w:rsidRPr="008850A9">
        <w:rPr>
          <w:rFonts w:cstheme="minorHAnsi"/>
          <w:color w:val="1B1B1B"/>
          <w:shd w:val="clear" w:color="auto" w:fill="FFFFFF"/>
        </w:rPr>
        <w:t xml:space="preserve"> issues at the federal, state, and local level. The work includes wri</w:t>
      </w:r>
      <w:r w:rsidR="005206A2">
        <w:rPr>
          <w:rFonts w:cstheme="minorHAnsi"/>
          <w:color w:val="1B1B1B"/>
          <w:shd w:val="clear" w:color="auto" w:fill="FFFFFF"/>
        </w:rPr>
        <w:t>ting briefs and comment letters;</w:t>
      </w:r>
      <w:r w:rsidRPr="008850A9">
        <w:rPr>
          <w:rFonts w:cstheme="minorHAnsi"/>
          <w:color w:val="1B1B1B"/>
          <w:shd w:val="clear" w:color="auto" w:fill="FFFFFF"/>
        </w:rPr>
        <w:t xml:space="preserve"> developing litigation strategies </w:t>
      </w:r>
      <w:r w:rsidRPr="008850A9">
        <w:rPr>
          <w:rFonts w:cstheme="minorHAnsi"/>
        </w:rPr>
        <w:t>that are pursued</w:t>
      </w:r>
      <w:r w:rsidRPr="008850A9">
        <w:rPr>
          <w:rFonts w:cstheme="minorHAnsi"/>
          <w:color w:val="1B1B1B"/>
          <w:shd w:val="clear" w:color="auto" w:fill="FFFFFF"/>
        </w:rPr>
        <w:t xml:space="preserve"> </w:t>
      </w:r>
      <w:r w:rsidRPr="008850A9">
        <w:rPr>
          <w:rFonts w:cstheme="minorHAnsi"/>
        </w:rPr>
        <w:t>in state and federal administrative and judicial</w:t>
      </w:r>
      <w:r w:rsidRPr="008850A9">
        <w:rPr>
          <w:rFonts w:cstheme="minorHAnsi"/>
          <w:color w:val="1B1B1B"/>
          <w:shd w:val="clear" w:color="auto" w:fill="FFFFFF"/>
        </w:rPr>
        <w:t xml:space="preserve"> </w:t>
      </w:r>
      <w:r w:rsidRPr="008850A9">
        <w:rPr>
          <w:rFonts w:cstheme="minorHAnsi"/>
        </w:rPr>
        <w:t>forums; comment</w:t>
      </w:r>
      <w:r w:rsidR="00963D0A">
        <w:rPr>
          <w:rFonts w:cstheme="minorHAnsi"/>
        </w:rPr>
        <w:t>ing</w:t>
      </w:r>
      <w:r w:rsidRPr="008850A9">
        <w:rPr>
          <w:rFonts w:cstheme="minorHAnsi"/>
        </w:rPr>
        <w:t xml:space="preserve"> on proposed federal and</w:t>
      </w:r>
      <w:r w:rsidRPr="008850A9">
        <w:rPr>
          <w:rFonts w:cstheme="minorHAnsi"/>
          <w:color w:val="1B1B1B"/>
          <w:shd w:val="clear" w:color="auto" w:fill="FFFFFF"/>
        </w:rPr>
        <w:t xml:space="preserve"> </w:t>
      </w:r>
      <w:r w:rsidRPr="008850A9">
        <w:rPr>
          <w:rFonts w:cstheme="minorHAnsi"/>
        </w:rPr>
        <w:t>state regulations; propos</w:t>
      </w:r>
      <w:r w:rsidR="00963D0A">
        <w:rPr>
          <w:rFonts w:cstheme="minorHAnsi"/>
        </w:rPr>
        <w:t>ing</w:t>
      </w:r>
      <w:r w:rsidRPr="008850A9">
        <w:rPr>
          <w:rFonts w:cstheme="minorHAnsi"/>
        </w:rPr>
        <w:t xml:space="preserve"> legislative and</w:t>
      </w:r>
      <w:r w:rsidRPr="008850A9">
        <w:rPr>
          <w:rFonts w:cstheme="minorHAnsi"/>
          <w:color w:val="1B1B1B"/>
          <w:shd w:val="clear" w:color="auto" w:fill="FFFFFF"/>
        </w:rPr>
        <w:t xml:space="preserve"> </w:t>
      </w:r>
      <w:r w:rsidRPr="008850A9">
        <w:rPr>
          <w:rFonts w:cstheme="minorHAnsi"/>
        </w:rPr>
        <w:t>regulatory reforms; provid</w:t>
      </w:r>
      <w:r w:rsidR="00963D0A">
        <w:rPr>
          <w:rFonts w:cstheme="minorHAnsi"/>
        </w:rPr>
        <w:t>ing</w:t>
      </w:r>
      <w:r w:rsidRPr="008850A9">
        <w:rPr>
          <w:rFonts w:cstheme="minorHAnsi"/>
        </w:rPr>
        <w:t xml:space="preserve"> legal advice to</w:t>
      </w:r>
      <w:r w:rsidRPr="008850A9">
        <w:rPr>
          <w:rFonts w:cstheme="minorHAnsi"/>
          <w:color w:val="1B1B1B"/>
          <w:shd w:val="clear" w:color="auto" w:fill="FFFFFF"/>
        </w:rPr>
        <w:t xml:space="preserve"> </w:t>
      </w:r>
      <w:r w:rsidRPr="008850A9">
        <w:rPr>
          <w:rFonts w:cstheme="minorHAnsi"/>
        </w:rPr>
        <w:t>non-profit and government clients</w:t>
      </w:r>
      <w:r w:rsidR="00963D0A">
        <w:rPr>
          <w:rFonts w:cstheme="minorHAnsi"/>
          <w:color w:val="1B1B1B"/>
          <w:shd w:val="clear" w:color="auto" w:fill="FFFFFF"/>
        </w:rPr>
        <w:t xml:space="preserve">; </w:t>
      </w:r>
      <w:r w:rsidRPr="008850A9">
        <w:rPr>
          <w:rFonts w:cstheme="minorHAnsi"/>
          <w:color w:val="1B1B1B"/>
          <w:shd w:val="clear" w:color="auto" w:fill="FFFFFF"/>
        </w:rPr>
        <w:t>preparing guidance documents and manuals for non-lawyers</w:t>
      </w:r>
      <w:r w:rsidR="00963D0A">
        <w:rPr>
          <w:rFonts w:cstheme="minorHAnsi"/>
          <w:color w:val="1B1B1B"/>
          <w:shd w:val="clear" w:color="auto" w:fill="FFFFFF"/>
        </w:rPr>
        <w:t>;</w:t>
      </w:r>
      <w:r w:rsidR="005206A2">
        <w:rPr>
          <w:rFonts w:cstheme="minorHAnsi"/>
          <w:color w:val="1B1B1B"/>
          <w:shd w:val="clear" w:color="auto" w:fill="FFFFFF"/>
        </w:rPr>
        <w:t xml:space="preserve"> drafting model legislation;</w:t>
      </w:r>
      <w:r w:rsidRPr="008850A9">
        <w:rPr>
          <w:rFonts w:cstheme="minorHAnsi"/>
          <w:color w:val="1B1B1B"/>
          <w:shd w:val="clear" w:color="auto" w:fill="FFFFFF"/>
        </w:rPr>
        <w:t xml:space="preserve"> and preparing policy papers. The Clinic develops novel strategies to address</w:t>
      </w:r>
      <w:r w:rsidR="00963D0A">
        <w:rPr>
          <w:rFonts w:cstheme="minorHAnsi"/>
          <w:color w:val="1B1B1B"/>
          <w:shd w:val="clear" w:color="auto" w:fill="FFFFFF"/>
        </w:rPr>
        <w:t xml:space="preserve"> </w:t>
      </w:r>
      <w:r w:rsidRPr="008850A9">
        <w:rPr>
          <w:rFonts w:cstheme="minorHAnsi"/>
          <w:color w:val="1B1B1B"/>
          <w:shd w:val="clear" w:color="auto" w:fill="FFFFFF"/>
        </w:rPr>
        <w:t>environmental problems; investigates new cases; works with scientific, economic, and policy experts to help them present their views about the impacts of legal reforms</w:t>
      </w:r>
      <w:r w:rsidR="00963D0A">
        <w:rPr>
          <w:rFonts w:cstheme="minorHAnsi"/>
          <w:color w:val="1B1B1B"/>
          <w:shd w:val="clear" w:color="auto" w:fill="FFFFFF"/>
        </w:rPr>
        <w:t>,</w:t>
      </w:r>
      <w:r w:rsidRPr="008850A9">
        <w:rPr>
          <w:rFonts w:cstheme="minorHAnsi"/>
          <w:color w:val="1B1B1B"/>
          <w:shd w:val="clear" w:color="auto" w:fill="FFFFFF"/>
        </w:rPr>
        <w:t xml:space="preserve"> and convenes meetings of policy-makers and regulators. </w:t>
      </w:r>
      <w:r w:rsidR="00963D0A">
        <w:rPr>
          <w:rFonts w:cstheme="minorHAnsi"/>
          <w:color w:val="1B1B1B"/>
          <w:shd w:val="clear" w:color="auto" w:fill="FFFFFF"/>
        </w:rPr>
        <w:t xml:space="preserve">The Clinic also works with groups across the country to help their advocates prepare for oral arguments in federal appellate courts. </w:t>
      </w:r>
      <w:r w:rsidRPr="008850A9">
        <w:rPr>
          <w:rFonts w:cstheme="minorHAnsi"/>
          <w:color w:val="1B1B1B"/>
          <w:shd w:val="clear" w:color="auto" w:fill="FFFFFF"/>
        </w:rPr>
        <w:t>Some students work off-campus with government agencies and nonprofit organizations, while others work on-campus on projects and case work under the supervision of the Clinic’s faculty and staff.</w:t>
      </w:r>
      <w:r w:rsidR="002822DC" w:rsidRPr="008850A9">
        <w:rPr>
          <w:rFonts w:cstheme="minorHAnsi"/>
          <w:color w:val="1B1B1B"/>
          <w:shd w:val="clear" w:color="auto" w:fill="FFFFFF"/>
        </w:rPr>
        <w:t xml:space="preserve">  Students are typically assigned one project for the semester</w:t>
      </w:r>
      <w:r w:rsidR="00A87B00">
        <w:rPr>
          <w:rFonts w:cstheme="minorHAnsi"/>
          <w:color w:val="1B1B1B"/>
          <w:shd w:val="clear" w:color="auto" w:fill="FFFFFF"/>
        </w:rPr>
        <w:t xml:space="preserve"> </w:t>
      </w:r>
      <w:proofErr w:type="gramStart"/>
      <w:r w:rsidR="00A87B00">
        <w:rPr>
          <w:rFonts w:cstheme="minorHAnsi"/>
          <w:color w:val="1B1B1B"/>
          <w:shd w:val="clear" w:color="auto" w:fill="FFFFFF"/>
        </w:rPr>
        <w:t>and</w:t>
      </w:r>
      <w:proofErr w:type="gramEnd"/>
      <w:r w:rsidR="00A87B00">
        <w:rPr>
          <w:rFonts w:cstheme="minorHAnsi"/>
          <w:color w:val="1B1B1B"/>
          <w:shd w:val="clear" w:color="auto" w:fill="FFFFFF"/>
        </w:rPr>
        <w:t xml:space="preserve"> most students work on projects as part of a two- to four- student team.</w:t>
      </w:r>
    </w:p>
    <w:p w14:paraId="40CA341D" w14:textId="77777777" w:rsidR="00602C3D" w:rsidRPr="008850A9" w:rsidRDefault="00602C3D" w:rsidP="008850A9">
      <w:pPr>
        <w:spacing w:after="0" w:line="240" w:lineRule="auto"/>
        <w:contextualSpacing/>
      </w:pPr>
    </w:p>
    <w:p w14:paraId="7F3E92DA" w14:textId="45F6E130" w:rsidR="00971044" w:rsidRPr="008850A9" w:rsidRDefault="00C5557E" w:rsidP="008850A9">
      <w:pPr>
        <w:spacing w:after="0" w:line="240" w:lineRule="auto"/>
        <w:contextualSpacing/>
        <w:rPr>
          <w:b/>
        </w:rPr>
      </w:pPr>
      <w:r w:rsidRPr="008850A9">
        <w:rPr>
          <w:b/>
        </w:rPr>
        <w:t>SKILLS</w:t>
      </w:r>
    </w:p>
    <w:p w14:paraId="6E8A22DA" w14:textId="34A0552D" w:rsidR="00971044" w:rsidRPr="008850A9" w:rsidRDefault="00971044" w:rsidP="008850A9">
      <w:pPr>
        <w:spacing w:after="0" w:line="240" w:lineRule="auto"/>
        <w:contextualSpacing/>
      </w:pPr>
      <w:r w:rsidRPr="008850A9">
        <w:t>Skills that students will be able to work on include:</w:t>
      </w:r>
    </w:p>
    <w:p w14:paraId="18B2030D" w14:textId="77777777" w:rsidR="00971044" w:rsidRPr="008850A9" w:rsidRDefault="00971044" w:rsidP="008850A9">
      <w:pPr>
        <w:pStyle w:val="ListParagraph"/>
        <w:numPr>
          <w:ilvl w:val="0"/>
          <w:numId w:val="1"/>
        </w:numPr>
        <w:autoSpaceDE w:val="0"/>
        <w:autoSpaceDN w:val="0"/>
        <w:adjustRightInd w:val="0"/>
        <w:spacing w:after="0" w:line="240" w:lineRule="auto"/>
        <w:rPr>
          <w:rFonts w:cstheme="minorHAnsi"/>
        </w:rPr>
      </w:pPr>
      <w:r w:rsidRPr="008850A9">
        <w:rPr>
          <w:rFonts w:cstheme="minorHAnsi"/>
        </w:rPr>
        <w:t>Factual and legal research</w:t>
      </w:r>
    </w:p>
    <w:p w14:paraId="002BC3CC" w14:textId="77777777" w:rsidR="00971044" w:rsidRPr="008850A9" w:rsidRDefault="00971044" w:rsidP="008850A9">
      <w:pPr>
        <w:pStyle w:val="ListParagraph"/>
        <w:numPr>
          <w:ilvl w:val="0"/>
          <w:numId w:val="1"/>
        </w:numPr>
        <w:autoSpaceDE w:val="0"/>
        <w:autoSpaceDN w:val="0"/>
        <w:adjustRightInd w:val="0"/>
        <w:spacing w:after="0" w:line="240" w:lineRule="auto"/>
        <w:rPr>
          <w:rFonts w:cstheme="minorHAnsi"/>
        </w:rPr>
      </w:pPr>
      <w:r w:rsidRPr="008850A9">
        <w:rPr>
          <w:rFonts w:cstheme="minorHAnsi"/>
        </w:rPr>
        <w:t>Client conferences and advising</w:t>
      </w:r>
    </w:p>
    <w:p w14:paraId="2A0313D2" w14:textId="77777777" w:rsidR="00971044" w:rsidRPr="008850A9" w:rsidRDefault="00971044" w:rsidP="008850A9">
      <w:pPr>
        <w:pStyle w:val="ListParagraph"/>
        <w:numPr>
          <w:ilvl w:val="0"/>
          <w:numId w:val="1"/>
        </w:numPr>
        <w:autoSpaceDE w:val="0"/>
        <w:autoSpaceDN w:val="0"/>
        <w:adjustRightInd w:val="0"/>
        <w:spacing w:after="0" w:line="240" w:lineRule="auto"/>
        <w:rPr>
          <w:rFonts w:cstheme="minorHAnsi"/>
        </w:rPr>
      </w:pPr>
      <w:r w:rsidRPr="008850A9">
        <w:rPr>
          <w:rFonts w:cstheme="minorHAnsi"/>
        </w:rPr>
        <w:t>Draft legal memoranda and briefs</w:t>
      </w:r>
    </w:p>
    <w:p w14:paraId="531C274C" w14:textId="77777777" w:rsidR="00971044" w:rsidRPr="008850A9" w:rsidRDefault="00971044" w:rsidP="008850A9">
      <w:pPr>
        <w:pStyle w:val="ListParagraph"/>
        <w:numPr>
          <w:ilvl w:val="0"/>
          <w:numId w:val="1"/>
        </w:numPr>
        <w:autoSpaceDE w:val="0"/>
        <w:autoSpaceDN w:val="0"/>
        <w:adjustRightInd w:val="0"/>
        <w:spacing w:after="0" w:line="240" w:lineRule="auto"/>
        <w:rPr>
          <w:rFonts w:cstheme="minorHAnsi"/>
        </w:rPr>
      </w:pPr>
      <w:r w:rsidRPr="008850A9">
        <w:rPr>
          <w:rFonts w:cstheme="minorHAnsi"/>
        </w:rPr>
        <w:t>Write guidance manuals for non-lawyers</w:t>
      </w:r>
    </w:p>
    <w:p w14:paraId="7A1C65D3" w14:textId="77777777" w:rsidR="00971044" w:rsidRPr="008850A9" w:rsidRDefault="00971044" w:rsidP="008850A9">
      <w:pPr>
        <w:pStyle w:val="ListParagraph"/>
        <w:numPr>
          <w:ilvl w:val="0"/>
          <w:numId w:val="1"/>
        </w:numPr>
        <w:autoSpaceDE w:val="0"/>
        <w:autoSpaceDN w:val="0"/>
        <w:adjustRightInd w:val="0"/>
        <w:spacing w:after="0" w:line="240" w:lineRule="auto"/>
        <w:rPr>
          <w:rFonts w:cstheme="minorHAnsi"/>
        </w:rPr>
      </w:pPr>
      <w:r w:rsidRPr="008850A9">
        <w:rPr>
          <w:rFonts w:cstheme="minorHAnsi"/>
        </w:rPr>
        <w:t>Prepare comments on rules</w:t>
      </w:r>
    </w:p>
    <w:p w14:paraId="2E7B39FA" w14:textId="77777777" w:rsidR="00971044" w:rsidRPr="008850A9" w:rsidRDefault="00971044" w:rsidP="008850A9">
      <w:pPr>
        <w:pStyle w:val="ListParagraph"/>
        <w:numPr>
          <w:ilvl w:val="0"/>
          <w:numId w:val="1"/>
        </w:numPr>
        <w:autoSpaceDE w:val="0"/>
        <w:autoSpaceDN w:val="0"/>
        <w:adjustRightInd w:val="0"/>
        <w:spacing w:after="0" w:line="240" w:lineRule="auto"/>
        <w:rPr>
          <w:rFonts w:cstheme="minorHAnsi"/>
        </w:rPr>
      </w:pPr>
      <w:r w:rsidRPr="008850A9">
        <w:rPr>
          <w:rFonts w:cstheme="minorHAnsi"/>
        </w:rPr>
        <w:t>Write model statutes/ordinances</w:t>
      </w:r>
    </w:p>
    <w:p w14:paraId="486BFC11" w14:textId="77777777" w:rsidR="00971044" w:rsidRPr="008850A9" w:rsidRDefault="00971044" w:rsidP="008850A9">
      <w:pPr>
        <w:pStyle w:val="ListParagraph"/>
        <w:numPr>
          <w:ilvl w:val="0"/>
          <w:numId w:val="1"/>
        </w:numPr>
        <w:autoSpaceDE w:val="0"/>
        <w:autoSpaceDN w:val="0"/>
        <w:adjustRightInd w:val="0"/>
        <w:spacing w:after="0" w:line="240" w:lineRule="auto"/>
        <w:rPr>
          <w:rFonts w:cstheme="minorHAnsi"/>
        </w:rPr>
      </w:pPr>
      <w:r w:rsidRPr="008850A9">
        <w:rPr>
          <w:rFonts w:cstheme="minorHAnsi"/>
        </w:rPr>
        <w:t>Draft policy papers</w:t>
      </w:r>
    </w:p>
    <w:p w14:paraId="71B2069E" w14:textId="77777777" w:rsidR="00971044" w:rsidRPr="008850A9" w:rsidRDefault="00971044" w:rsidP="008850A9">
      <w:pPr>
        <w:pStyle w:val="ListParagraph"/>
        <w:numPr>
          <w:ilvl w:val="0"/>
          <w:numId w:val="1"/>
        </w:numPr>
        <w:autoSpaceDE w:val="0"/>
        <w:autoSpaceDN w:val="0"/>
        <w:adjustRightInd w:val="0"/>
        <w:spacing w:after="0" w:line="240" w:lineRule="auto"/>
        <w:rPr>
          <w:rFonts w:cstheme="minorHAnsi"/>
        </w:rPr>
      </w:pPr>
      <w:r w:rsidRPr="008850A9">
        <w:rPr>
          <w:rFonts w:cstheme="minorHAnsi"/>
        </w:rPr>
        <w:t>Oral presentations (to courts, governments, NGOs, others)</w:t>
      </w:r>
    </w:p>
    <w:p w14:paraId="0E01C325" w14:textId="6ED1E061" w:rsidR="00971044" w:rsidRDefault="00971044" w:rsidP="008850A9">
      <w:pPr>
        <w:spacing w:after="0" w:line="240" w:lineRule="auto"/>
        <w:contextualSpacing/>
      </w:pPr>
    </w:p>
    <w:p w14:paraId="0499D810" w14:textId="1D0283CE" w:rsidR="008850A9" w:rsidRDefault="008850A9" w:rsidP="008850A9">
      <w:pPr>
        <w:spacing w:after="0" w:line="240" w:lineRule="auto"/>
        <w:contextualSpacing/>
      </w:pPr>
    </w:p>
    <w:p w14:paraId="04872CD6" w14:textId="50CFCDA8" w:rsidR="008850A9" w:rsidRDefault="008850A9" w:rsidP="008850A9">
      <w:pPr>
        <w:spacing w:after="0" w:line="240" w:lineRule="auto"/>
        <w:contextualSpacing/>
      </w:pPr>
    </w:p>
    <w:p w14:paraId="4F117D8C" w14:textId="6D0A43B1" w:rsidR="008850A9" w:rsidRDefault="008850A9" w:rsidP="008850A9">
      <w:pPr>
        <w:spacing w:after="0" w:line="240" w:lineRule="auto"/>
        <w:contextualSpacing/>
      </w:pPr>
    </w:p>
    <w:p w14:paraId="3DD3C35B" w14:textId="7FFA3CD1" w:rsidR="008850A9" w:rsidRDefault="008850A9" w:rsidP="008850A9">
      <w:pPr>
        <w:spacing w:after="0" w:line="240" w:lineRule="auto"/>
        <w:contextualSpacing/>
      </w:pPr>
    </w:p>
    <w:p w14:paraId="3DFC180F" w14:textId="0B33D44A" w:rsidR="008850A9" w:rsidRDefault="008850A9" w:rsidP="008850A9">
      <w:pPr>
        <w:spacing w:after="0" w:line="240" w:lineRule="auto"/>
        <w:contextualSpacing/>
      </w:pPr>
    </w:p>
    <w:p w14:paraId="5E63D061" w14:textId="663898DF" w:rsidR="008850A9" w:rsidRDefault="008850A9" w:rsidP="008850A9">
      <w:pPr>
        <w:spacing w:after="0" w:line="240" w:lineRule="auto"/>
        <w:contextualSpacing/>
      </w:pPr>
    </w:p>
    <w:p w14:paraId="244D82C6" w14:textId="77777777" w:rsidR="008850A9" w:rsidRPr="008850A9" w:rsidRDefault="008850A9" w:rsidP="008850A9">
      <w:pPr>
        <w:spacing w:after="0" w:line="240" w:lineRule="auto"/>
        <w:contextualSpacing/>
      </w:pPr>
    </w:p>
    <w:p w14:paraId="031D0902" w14:textId="77777777" w:rsidR="005B17E0" w:rsidRPr="008850A9" w:rsidRDefault="005B17E0" w:rsidP="008850A9">
      <w:pPr>
        <w:spacing w:after="0" w:line="240" w:lineRule="auto"/>
        <w:contextualSpacing/>
        <w:rPr>
          <w:rFonts w:eastAsia="Calibri" w:cs="Times New Roman"/>
          <w:b/>
        </w:rPr>
      </w:pPr>
      <w:r w:rsidRPr="008850A9">
        <w:rPr>
          <w:rFonts w:eastAsia="Calibri" w:cs="Times New Roman"/>
          <w:b/>
        </w:rPr>
        <w:t>TYPICAL WORK SCHEDULE</w:t>
      </w:r>
    </w:p>
    <w:p w14:paraId="0BEF540B" w14:textId="77777777" w:rsidR="005B17E0" w:rsidRPr="008850A9" w:rsidRDefault="005B17E0" w:rsidP="008850A9">
      <w:pPr>
        <w:spacing w:after="0" w:line="240" w:lineRule="auto"/>
        <w:contextualSpacing/>
        <w:rPr>
          <w:rFonts w:eastAsia="Calibri" w:cs="Times New Roman"/>
          <w:i/>
          <w:iCs/>
        </w:rPr>
      </w:pPr>
      <w:r w:rsidRPr="008850A9">
        <w:rPr>
          <w:rFonts w:eastAsia="Calibri" w:cs="Times New Roman"/>
          <w:i/>
          <w:iCs/>
        </w:rPr>
        <w:t xml:space="preserve">The work schedule will vary depending on the type of project and whether the clinic student is working on site or in an externship.  The clinic provides students the opportunity to improve research and writing skills, meet with clients and work on communications skills.  Finally, the clinic ensures that each student is receiving feedback from supervisors. </w:t>
      </w:r>
    </w:p>
    <w:p w14:paraId="059CAA29" w14:textId="77777777" w:rsidR="008850A9" w:rsidRDefault="008850A9" w:rsidP="008850A9">
      <w:pPr>
        <w:spacing w:after="0" w:line="240" w:lineRule="auto"/>
        <w:contextualSpacing/>
        <w:rPr>
          <w:rFonts w:eastAsia="Calibri" w:cs="Times New Roman"/>
        </w:rPr>
      </w:pPr>
    </w:p>
    <w:p w14:paraId="7777D3F5" w14:textId="363E0D9A" w:rsidR="005B17E0" w:rsidRPr="008850A9" w:rsidRDefault="005B17E0" w:rsidP="008850A9">
      <w:pPr>
        <w:spacing w:after="0" w:line="240" w:lineRule="auto"/>
        <w:contextualSpacing/>
        <w:rPr>
          <w:rFonts w:eastAsia="Calibri" w:cs="Times New Roman"/>
        </w:rPr>
      </w:pPr>
      <w:r w:rsidRPr="008850A9">
        <w:rPr>
          <w:rFonts w:eastAsia="Calibri" w:cs="Times New Roman"/>
        </w:rPr>
        <w:t>e.g.</w:t>
      </w:r>
    </w:p>
    <w:tbl>
      <w:tblPr>
        <w:tblStyle w:val="TableGrid"/>
        <w:tblW w:w="0" w:type="auto"/>
        <w:jc w:val="center"/>
        <w:tblLayout w:type="fixed"/>
        <w:tblLook w:val="0600" w:firstRow="0" w:lastRow="0" w:firstColumn="0" w:lastColumn="0" w:noHBand="1" w:noVBand="1"/>
      </w:tblPr>
      <w:tblGrid>
        <w:gridCol w:w="3120"/>
        <w:gridCol w:w="3120"/>
        <w:gridCol w:w="3120"/>
      </w:tblGrid>
      <w:tr w:rsidR="005B17E0" w:rsidRPr="008850A9" w14:paraId="346E05EB" w14:textId="77777777" w:rsidTr="008850A9">
        <w:trPr>
          <w:trHeight w:val="327"/>
          <w:jc w:val="center"/>
        </w:trPr>
        <w:tc>
          <w:tcPr>
            <w:tcW w:w="3120" w:type="dxa"/>
            <w:tcBorders>
              <w:top w:val="single" w:sz="6" w:space="0" w:color="9E9E9E"/>
              <w:left w:val="single" w:sz="6" w:space="0" w:color="9E9E9E"/>
              <w:bottom w:val="single" w:sz="6" w:space="0" w:color="9E9E9E"/>
              <w:right w:val="single" w:sz="6" w:space="0" w:color="9E9E9E"/>
            </w:tcBorders>
          </w:tcPr>
          <w:p w14:paraId="4B0B440C" w14:textId="77777777" w:rsidR="005B17E0" w:rsidRPr="008850A9" w:rsidRDefault="005B17E0" w:rsidP="008850A9">
            <w:pPr>
              <w:contextualSpacing/>
              <w:jc w:val="center"/>
              <w:rPr>
                <w:rFonts w:eastAsia="Calibri" w:cs="Times New Roman"/>
              </w:rPr>
            </w:pPr>
            <w:r w:rsidRPr="008850A9">
              <w:rPr>
                <w:rFonts w:eastAsia="Arial" w:cs="Arial"/>
                <w:b/>
                <w:bCs/>
                <w:color w:val="000000"/>
              </w:rPr>
              <w:t>Morning</w:t>
            </w:r>
          </w:p>
        </w:tc>
        <w:tc>
          <w:tcPr>
            <w:tcW w:w="3120" w:type="dxa"/>
            <w:tcBorders>
              <w:top w:val="single" w:sz="6" w:space="0" w:color="9E9E9E"/>
              <w:left w:val="single" w:sz="6" w:space="0" w:color="9E9E9E"/>
              <w:bottom w:val="single" w:sz="6" w:space="0" w:color="9E9E9E"/>
              <w:right w:val="single" w:sz="6" w:space="0" w:color="9E9E9E"/>
            </w:tcBorders>
          </w:tcPr>
          <w:p w14:paraId="0A3E5A34" w14:textId="77777777" w:rsidR="005B17E0" w:rsidRPr="008850A9" w:rsidRDefault="005B17E0" w:rsidP="008850A9">
            <w:pPr>
              <w:contextualSpacing/>
              <w:jc w:val="center"/>
              <w:rPr>
                <w:rFonts w:eastAsia="Calibri" w:cs="Times New Roman"/>
              </w:rPr>
            </w:pPr>
            <w:r w:rsidRPr="008850A9">
              <w:rPr>
                <w:rFonts w:eastAsia="Arial" w:cs="Arial"/>
                <w:b/>
                <w:bCs/>
                <w:color w:val="000000"/>
              </w:rPr>
              <w:t>Afternoon</w:t>
            </w:r>
          </w:p>
        </w:tc>
        <w:tc>
          <w:tcPr>
            <w:tcW w:w="3120" w:type="dxa"/>
            <w:tcBorders>
              <w:top w:val="single" w:sz="6" w:space="0" w:color="9E9E9E"/>
              <w:left w:val="single" w:sz="6" w:space="0" w:color="9E9E9E"/>
              <w:bottom w:val="single" w:sz="6" w:space="0" w:color="9E9E9E"/>
              <w:right w:val="single" w:sz="6" w:space="0" w:color="9E9E9E"/>
            </w:tcBorders>
          </w:tcPr>
          <w:p w14:paraId="15172834" w14:textId="77777777" w:rsidR="005B17E0" w:rsidRPr="008850A9" w:rsidRDefault="005B17E0" w:rsidP="008850A9">
            <w:pPr>
              <w:contextualSpacing/>
              <w:jc w:val="center"/>
              <w:rPr>
                <w:rFonts w:eastAsia="Calibri" w:cs="Times New Roman"/>
              </w:rPr>
            </w:pPr>
            <w:r w:rsidRPr="008850A9">
              <w:rPr>
                <w:rFonts w:eastAsia="Arial" w:cs="Arial"/>
                <w:b/>
                <w:bCs/>
                <w:color w:val="000000"/>
              </w:rPr>
              <w:t>Evening</w:t>
            </w:r>
          </w:p>
        </w:tc>
      </w:tr>
      <w:tr w:rsidR="005B17E0" w:rsidRPr="008850A9" w14:paraId="0A710153" w14:textId="77777777" w:rsidTr="008850A9">
        <w:trPr>
          <w:trHeight w:val="3063"/>
          <w:jc w:val="center"/>
        </w:trPr>
        <w:tc>
          <w:tcPr>
            <w:tcW w:w="3120" w:type="dxa"/>
            <w:tcBorders>
              <w:top w:val="single" w:sz="6" w:space="0" w:color="9E9E9E"/>
              <w:left w:val="single" w:sz="6" w:space="0" w:color="9E9E9E"/>
              <w:bottom w:val="single" w:sz="6" w:space="0" w:color="9E9E9E"/>
              <w:right w:val="single" w:sz="6" w:space="0" w:color="9E9E9E"/>
            </w:tcBorders>
          </w:tcPr>
          <w:p w14:paraId="7BE5D698" w14:textId="77777777" w:rsidR="005B17E0" w:rsidRPr="008850A9" w:rsidRDefault="005B17E0" w:rsidP="008850A9">
            <w:pPr>
              <w:contextualSpacing/>
              <w:rPr>
                <w:rFonts w:eastAsia="Calibri" w:cs="Times New Roman"/>
              </w:rPr>
            </w:pPr>
            <w:r w:rsidRPr="008850A9">
              <w:rPr>
                <w:rFonts w:eastAsia="Raleway" w:cs="Raleway"/>
                <w:b/>
                <w:bCs/>
                <w:color w:val="000000"/>
              </w:rPr>
              <w:t>8:30 - 9:15 am:</w:t>
            </w:r>
            <w:r w:rsidRPr="008850A9">
              <w:rPr>
                <w:rFonts w:eastAsia="Raleway" w:cs="Raleway"/>
                <w:color w:val="000000"/>
              </w:rPr>
              <w:t xml:space="preserve"> arrive at office</w:t>
            </w:r>
          </w:p>
          <w:p w14:paraId="3B667756" w14:textId="77777777" w:rsidR="005B17E0" w:rsidRPr="008850A9" w:rsidRDefault="005B17E0" w:rsidP="008850A9">
            <w:pPr>
              <w:contextualSpacing/>
              <w:rPr>
                <w:rFonts w:eastAsia="Calibri" w:cs="Times New Roman"/>
              </w:rPr>
            </w:pPr>
            <w:r w:rsidRPr="008850A9">
              <w:rPr>
                <w:rFonts w:eastAsia="Raleway" w:cs="Raleway"/>
                <w:b/>
                <w:bCs/>
                <w:color w:val="000000"/>
              </w:rPr>
              <w:t>9:15 - 10:00 am:</w:t>
            </w:r>
            <w:r w:rsidRPr="008850A9">
              <w:rPr>
                <w:rFonts w:eastAsia="Raleway" w:cs="Raleway"/>
                <w:color w:val="000000"/>
              </w:rPr>
              <w:t xml:space="preserve"> Draft agenda for case check-in and client meeting</w:t>
            </w:r>
          </w:p>
          <w:p w14:paraId="64FCEA4B" w14:textId="77777777" w:rsidR="005B17E0" w:rsidRPr="008850A9" w:rsidRDefault="005B17E0" w:rsidP="008850A9">
            <w:pPr>
              <w:contextualSpacing/>
              <w:rPr>
                <w:rFonts w:eastAsia="Calibri" w:cs="Times New Roman"/>
              </w:rPr>
            </w:pPr>
            <w:r w:rsidRPr="008850A9">
              <w:rPr>
                <w:rFonts w:eastAsia="Raleway" w:cs="Raleway"/>
                <w:b/>
                <w:bCs/>
                <w:color w:val="000000"/>
              </w:rPr>
              <w:t>10:00 am:</w:t>
            </w:r>
            <w:r w:rsidRPr="008850A9">
              <w:rPr>
                <w:rFonts w:eastAsia="Raleway" w:cs="Raleway"/>
                <w:color w:val="000000"/>
              </w:rPr>
              <w:t xml:space="preserve"> Prepare for client meeting.</w:t>
            </w:r>
          </w:p>
          <w:p w14:paraId="55B52719" w14:textId="77777777" w:rsidR="005B17E0" w:rsidRPr="008850A9" w:rsidRDefault="005B17E0" w:rsidP="008850A9">
            <w:pPr>
              <w:contextualSpacing/>
              <w:rPr>
                <w:rFonts w:eastAsia="Calibri" w:cs="Times New Roman"/>
              </w:rPr>
            </w:pPr>
            <w:r w:rsidRPr="008850A9">
              <w:rPr>
                <w:rFonts w:eastAsia="Raleway" w:cs="Raleway"/>
                <w:b/>
                <w:bCs/>
                <w:color w:val="000000"/>
              </w:rPr>
              <w:t xml:space="preserve">10:00 - 11:00 am: </w:t>
            </w:r>
            <w:r w:rsidRPr="008850A9">
              <w:rPr>
                <w:rFonts w:eastAsia="Raleway" w:cs="Raleway"/>
                <w:color w:val="000000"/>
              </w:rPr>
              <w:t>Meet with client</w:t>
            </w:r>
          </w:p>
          <w:p w14:paraId="21A9BA7B" w14:textId="77777777" w:rsidR="005B17E0" w:rsidRPr="008850A9" w:rsidRDefault="005B17E0" w:rsidP="008850A9">
            <w:pPr>
              <w:contextualSpacing/>
              <w:rPr>
                <w:rFonts w:eastAsia="Calibri" w:cs="Times New Roman"/>
              </w:rPr>
            </w:pPr>
            <w:r w:rsidRPr="008850A9">
              <w:rPr>
                <w:rFonts w:eastAsia="Raleway" w:cs="Raleway"/>
                <w:b/>
                <w:bCs/>
                <w:color w:val="000000"/>
              </w:rPr>
              <w:t>11:00 am - 12:30 pm</w:t>
            </w:r>
            <w:r w:rsidRPr="008850A9">
              <w:rPr>
                <w:rFonts w:eastAsia="Raleway" w:cs="Raleway"/>
                <w:color w:val="000000"/>
              </w:rPr>
              <w:t>: Prepare and distribute notes on client meeting.</w:t>
            </w:r>
          </w:p>
        </w:tc>
        <w:tc>
          <w:tcPr>
            <w:tcW w:w="3120" w:type="dxa"/>
            <w:tcBorders>
              <w:top w:val="single" w:sz="6" w:space="0" w:color="9E9E9E"/>
              <w:left w:val="single" w:sz="6" w:space="0" w:color="9E9E9E"/>
              <w:bottom w:val="single" w:sz="6" w:space="0" w:color="9E9E9E"/>
              <w:right w:val="single" w:sz="6" w:space="0" w:color="9E9E9E"/>
            </w:tcBorders>
          </w:tcPr>
          <w:p w14:paraId="0763D6B4" w14:textId="77777777" w:rsidR="005B17E0" w:rsidRPr="008850A9" w:rsidRDefault="005B17E0" w:rsidP="008850A9">
            <w:pPr>
              <w:contextualSpacing/>
              <w:rPr>
                <w:rFonts w:eastAsia="Calibri" w:cs="Times New Roman"/>
              </w:rPr>
            </w:pPr>
            <w:r w:rsidRPr="008850A9">
              <w:rPr>
                <w:rFonts w:eastAsia="Raleway" w:cs="Raleway"/>
                <w:b/>
                <w:bCs/>
                <w:color w:val="000000"/>
              </w:rPr>
              <w:t xml:space="preserve">12:30 - 1:15 pm: </w:t>
            </w:r>
            <w:r w:rsidRPr="008850A9">
              <w:rPr>
                <w:rFonts w:eastAsia="Raleway" w:cs="Raleway"/>
                <w:color w:val="000000"/>
              </w:rPr>
              <w:t>lunch</w:t>
            </w:r>
          </w:p>
          <w:p w14:paraId="1C307EF3" w14:textId="77777777" w:rsidR="005B17E0" w:rsidRPr="008850A9" w:rsidRDefault="005B17E0" w:rsidP="008850A9">
            <w:pPr>
              <w:contextualSpacing/>
              <w:rPr>
                <w:rFonts w:eastAsia="Calibri" w:cs="Times New Roman"/>
              </w:rPr>
            </w:pPr>
            <w:r w:rsidRPr="008850A9">
              <w:rPr>
                <w:rFonts w:eastAsia="Raleway" w:cs="Raleway"/>
                <w:b/>
                <w:bCs/>
                <w:color w:val="000000"/>
              </w:rPr>
              <w:t xml:space="preserve">1:15 - 2:30 pm: </w:t>
            </w:r>
            <w:r w:rsidRPr="008850A9">
              <w:rPr>
                <w:rFonts w:eastAsia="Raleway" w:cs="Raleway"/>
                <w:color w:val="000000"/>
              </w:rPr>
              <w:t>Perform research informed by client meeting.</w:t>
            </w:r>
          </w:p>
          <w:p w14:paraId="0B82F5AA" w14:textId="77777777" w:rsidR="005B17E0" w:rsidRPr="008850A9" w:rsidRDefault="005B17E0" w:rsidP="008850A9">
            <w:pPr>
              <w:contextualSpacing/>
              <w:rPr>
                <w:rFonts w:eastAsia="Calibri" w:cs="Times New Roman"/>
              </w:rPr>
            </w:pPr>
            <w:r w:rsidRPr="008850A9">
              <w:rPr>
                <w:rFonts w:eastAsia="Raleway" w:cs="Raleway"/>
                <w:b/>
                <w:bCs/>
                <w:color w:val="000000"/>
              </w:rPr>
              <w:t>2:30 - 3:15 pm:</w:t>
            </w:r>
            <w:r w:rsidRPr="008850A9">
              <w:rPr>
                <w:rFonts w:eastAsia="Raleway" w:cs="Raleway"/>
                <w:color w:val="000000"/>
              </w:rPr>
              <w:t xml:space="preserve"> Begin organizing thoughts, work on outline.</w:t>
            </w:r>
          </w:p>
          <w:p w14:paraId="3A1735E0" w14:textId="77777777" w:rsidR="005B17E0" w:rsidRPr="008850A9" w:rsidRDefault="005B17E0" w:rsidP="008850A9">
            <w:pPr>
              <w:contextualSpacing/>
              <w:rPr>
                <w:rFonts w:eastAsia="Raleway" w:cs="Raleway"/>
                <w:color w:val="000000"/>
              </w:rPr>
            </w:pPr>
            <w:r w:rsidRPr="008850A9">
              <w:rPr>
                <w:rFonts w:eastAsia="Raleway" w:cs="Raleway"/>
                <w:b/>
                <w:bCs/>
                <w:color w:val="000000"/>
              </w:rPr>
              <w:t xml:space="preserve">3:15 - 3:45 pm </w:t>
            </w:r>
            <w:r w:rsidRPr="008850A9">
              <w:rPr>
                <w:rFonts w:eastAsia="Raleway" w:cs="Raleway"/>
                <w:color w:val="000000"/>
              </w:rPr>
              <w:t>discuss outline with supervisor.</w:t>
            </w:r>
          </w:p>
          <w:p w14:paraId="277AB848" w14:textId="77777777" w:rsidR="005B17E0" w:rsidRPr="008850A9" w:rsidRDefault="005B17E0" w:rsidP="008850A9">
            <w:pPr>
              <w:contextualSpacing/>
              <w:rPr>
                <w:rFonts w:eastAsia="Calibri" w:cs="Times New Roman"/>
              </w:rPr>
            </w:pPr>
            <w:r w:rsidRPr="008850A9">
              <w:rPr>
                <w:rFonts w:eastAsia="Raleway" w:cs="Raleway"/>
                <w:b/>
                <w:bCs/>
                <w:color w:val="000000"/>
              </w:rPr>
              <w:t>3:45 - 4:30 pm:</w:t>
            </w:r>
            <w:r w:rsidRPr="008850A9">
              <w:rPr>
                <w:rFonts w:eastAsia="Raleway" w:cs="Raleway"/>
                <w:color w:val="000000"/>
              </w:rPr>
              <w:t xml:space="preserve"> Begin drafting.</w:t>
            </w:r>
          </w:p>
        </w:tc>
        <w:tc>
          <w:tcPr>
            <w:tcW w:w="3120" w:type="dxa"/>
            <w:tcBorders>
              <w:top w:val="single" w:sz="6" w:space="0" w:color="9E9E9E"/>
              <w:left w:val="single" w:sz="6" w:space="0" w:color="9E9E9E"/>
              <w:bottom w:val="single" w:sz="6" w:space="0" w:color="9E9E9E"/>
              <w:right w:val="single" w:sz="6" w:space="0" w:color="9E9E9E"/>
            </w:tcBorders>
          </w:tcPr>
          <w:p w14:paraId="29FC56D5" w14:textId="77777777" w:rsidR="005B17E0" w:rsidRPr="008850A9" w:rsidRDefault="005B17E0" w:rsidP="008850A9">
            <w:pPr>
              <w:contextualSpacing/>
              <w:rPr>
                <w:rFonts w:eastAsia="Raleway" w:cs="Raleway"/>
                <w:color w:val="000000"/>
              </w:rPr>
            </w:pPr>
            <w:r w:rsidRPr="008850A9">
              <w:rPr>
                <w:rFonts w:eastAsia="Raleway" w:cs="Raleway"/>
                <w:b/>
                <w:bCs/>
                <w:color w:val="000000"/>
              </w:rPr>
              <w:t xml:space="preserve">4:30 - 5:20 pm: </w:t>
            </w:r>
            <w:r w:rsidRPr="008850A9">
              <w:rPr>
                <w:rFonts w:eastAsia="Raleway" w:cs="Raleway"/>
                <w:color w:val="000000"/>
              </w:rPr>
              <w:t>Review draft; engage in peer review as appropriate.</w:t>
            </w:r>
          </w:p>
          <w:p w14:paraId="509BF774" w14:textId="77777777" w:rsidR="005B17E0" w:rsidRPr="008850A9" w:rsidRDefault="005B17E0" w:rsidP="008850A9">
            <w:pPr>
              <w:contextualSpacing/>
              <w:rPr>
                <w:rFonts w:eastAsia="Calibri" w:cs="Times New Roman"/>
              </w:rPr>
            </w:pPr>
            <w:r w:rsidRPr="008850A9">
              <w:rPr>
                <w:rFonts w:eastAsia="Raleway" w:cs="Raleway"/>
                <w:b/>
                <w:bCs/>
                <w:color w:val="000000"/>
              </w:rPr>
              <w:t>5:20 - 6:15 pm</w:t>
            </w:r>
            <w:r w:rsidRPr="008850A9">
              <w:rPr>
                <w:rFonts w:eastAsia="Raleway" w:cs="Raleway"/>
                <w:color w:val="000000"/>
              </w:rPr>
              <w:t>: prepare for clinical seminar.</w:t>
            </w:r>
          </w:p>
        </w:tc>
      </w:tr>
    </w:tbl>
    <w:p w14:paraId="2C4C7B03" w14:textId="77777777" w:rsidR="005B17E0" w:rsidRPr="008850A9" w:rsidRDefault="005B17E0" w:rsidP="008850A9">
      <w:pPr>
        <w:spacing w:after="0" w:line="240" w:lineRule="auto"/>
        <w:contextualSpacing/>
        <w:rPr>
          <w:rFonts w:eastAsia="Calibri" w:cs="Times New Roman"/>
        </w:rPr>
      </w:pPr>
    </w:p>
    <w:p w14:paraId="718B50F3" w14:textId="77777777" w:rsidR="00971044" w:rsidRPr="008850A9" w:rsidRDefault="00971044" w:rsidP="008850A9">
      <w:pPr>
        <w:spacing w:after="0" w:line="240" w:lineRule="auto"/>
        <w:contextualSpacing/>
      </w:pPr>
    </w:p>
    <w:sectPr w:rsidR="00971044" w:rsidRPr="008850A9" w:rsidSect="00A4012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F7CF5D" w16cid:durableId="2B7EC3A7"/>
  <w16cid:commentId w16cid:paraId="1FBBB326" w16cid:durableId="2B7EC415"/>
  <w16cid:commentId w16cid:paraId="65F5B5FE" w16cid:durableId="2B7ECD7E"/>
  <w16cid:commentId w16cid:paraId="3D7B782E" w16cid:durableId="2B7EC3A8"/>
  <w16cid:commentId w16cid:paraId="2CC97F0B" w16cid:durableId="2B7EC3A9"/>
  <w16cid:commentId w16cid:paraId="442B464E" w16cid:durableId="2B7EC4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CFE55" w14:textId="77777777" w:rsidR="001E7C98" w:rsidRDefault="001E7C98" w:rsidP="00787970">
      <w:pPr>
        <w:spacing w:after="0" w:line="240" w:lineRule="auto"/>
      </w:pPr>
      <w:r>
        <w:separator/>
      </w:r>
    </w:p>
  </w:endnote>
  <w:endnote w:type="continuationSeparator" w:id="0">
    <w:p w14:paraId="20BCC159" w14:textId="77777777" w:rsidR="001E7C98" w:rsidRDefault="001E7C98" w:rsidP="00787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5F01" w14:textId="77777777" w:rsidR="00146943" w:rsidRDefault="00146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699430"/>
      <w:docPartObj>
        <w:docPartGallery w:val="Page Numbers (Bottom of Page)"/>
        <w:docPartUnique/>
      </w:docPartObj>
    </w:sdtPr>
    <w:sdtEndPr>
      <w:rPr>
        <w:noProof/>
      </w:rPr>
    </w:sdtEndPr>
    <w:sdtContent>
      <w:p w14:paraId="05341D15" w14:textId="0942F5D9" w:rsidR="009B451A" w:rsidRDefault="009B451A">
        <w:pPr>
          <w:pStyle w:val="Footer"/>
          <w:jc w:val="right"/>
        </w:pPr>
        <w:r>
          <w:fldChar w:fldCharType="begin"/>
        </w:r>
        <w:r>
          <w:instrText xml:space="preserve"> PAGE   \* MERGEFORMAT </w:instrText>
        </w:r>
        <w:r>
          <w:fldChar w:fldCharType="separate"/>
        </w:r>
        <w:r w:rsidR="00146943">
          <w:rPr>
            <w:noProof/>
          </w:rPr>
          <w:t>2</w:t>
        </w:r>
        <w:r>
          <w:rPr>
            <w:noProof/>
          </w:rPr>
          <w:fldChar w:fldCharType="end"/>
        </w:r>
      </w:p>
    </w:sdtContent>
  </w:sdt>
  <w:p w14:paraId="43834023" w14:textId="0F6B7708" w:rsidR="590A8C28" w:rsidRDefault="590A8C28" w:rsidP="590A8C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F927A" w14:textId="77777777" w:rsidR="00146943" w:rsidRDefault="00146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4E55A" w14:textId="77777777" w:rsidR="001E7C98" w:rsidRDefault="001E7C98" w:rsidP="00787970">
      <w:pPr>
        <w:spacing w:after="0" w:line="240" w:lineRule="auto"/>
      </w:pPr>
      <w:r>
        <w:separator/>
      </w:r>
    </w:p>
  </w:footnote>
  <w:footnote w:type="continuationSeparator" w:id="0">
    <w:p w14:paraId="6F87D44A" w14:textId="77777777" w:rsidR="001E7C98" w:rsidRDefault="001E7C98" w:rsidP="00787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65174" w14:textId="77777777" w:rsidR="00146943" w:rsidRDefault="00146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C4A87" w14:textId="3D61C174" w:rsidR="590A8C28" w:rsidRPr="008850A9" w:rsidRDefault="00D93ED6" w:rsidP="590A8C28">
    <w:pPr>
      <w:spacing w:after="0" w:line="240" w:lineRule="auto"/>
      <w:contextualSpacing/>
      <w:jc w:val="center"/>
    </w:pPr>
    <w:r w:rsidRPr="008850A9">
      <w:t>EMMETT ENVIRONMENTAL LAW &amp; POLICY CLINIC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BC39A" w14:textId="77777777" w:rsidR="00146943" w:rsidRDefault="00146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7129"/>
    <w:multiLevelType w:val="hybridMultilevel"/>
    <w:tmpl w:val="FC723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E8"/>
    <w:rsid w:val="000112BA"/>
    <w:rsid w:val="000215D3"/>
    <w:rsid w:val="000A4BB9"/>
    <w:rsid w:val="00146943"/>
    <w:rsid w:val="0016741B"/>
    <w:rsid w:val="00194FEF"/>
    <w:rsid w:val="001A58CD"/>
    <w:rsid w:val="001E7C98"/>
    <w:rsid w:val="002822DC"/>
    <w:rsid w:val="00325D84"/>
    <w:rsid w:val="0039452C"/>
    <w:rsid w:val="003C5134"/>
    <w:rsid w:val="0044482E"/>
    <w:rsid w:val="0049615A"/>
    <w:rsid w:val="005206A2"/>
    <w:rsid w:val="00550550"/>
    <w:rsid w:val="005B17E0"/>
    <w:rsid w:val="005B7CCE"/>
    <w:rsid w:val="00602C3D"/>
    <w:rsid w:val="0062278A"/>
    <w:rsid w:val="00625CAF"/>
    <w:rsid w:val="00715325"/>
    <w:rsid w:val="00737344"/>
    <w:rsid w:val="00787970"/>
    <w:rsid w:val="0087280A"/>
    <w:rsid w:val="008850A9"/>
    <w:rsid w:val="008B2F52"/>
    <w:rsid w:val="00963D0A"/>
    <w:rsid w:val="00971044"/>
    <w:rsid w:val="009B451A"/>
    <w:rsid w:val="00A40127"/>
    <w:rsid w:val="00A74194"/>
    <w:rsid w:val="00A87B00"/>
    <w:rsid w:val="00AA14C8"/>
    <w:rsid w:val="00AC03C6"/>
    <w:rsid w:val="00B14459"/>
    <w:rsid w:val="00B83133"/>
    <w:rsid w:val="00BD06B6"/>
    <w:rsid w:val="00C5557E"/>
    <w:rsid w:val="00C646CA"/>
    <w:rsid w:val="00C917DB"/>
    <w:rsid w:val="00CA048D"/>
    <w:rsid w:val="00D709E8"/>
    <w:rsid w:val="00D92A38"/>
    <w:rsid w:val="00D93ED6"/>
    <w:rsid w:val="00E3007E"/>
    <w:rsid w:val="00EC678E"/>
    <w:rsid w:val="00F16500"/>
    <w:rsid w:val="00FC4200"/>
    <w:rsid w:val="00FD627C"/>
    <w:rsid w:val="24AF26DC"/>
    <w:rsid w:val="590A8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34C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4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7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970"/>
  </w:style>
  <w:style w:type="paragraph" w:styleId="Footer">
    <w:name w:val="footer"/>
    <w:basedOn w:val="Normal"/>
    <w:link w:val="FooterChar"/>
    <w:uiPriority w:val="99"/>
    <w:unhideWhenUsed/>
    <w:rsid w:val="00787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970"/>
  </w:style>
  <w:style w:type="character" w:styleId="Hyperlink">
    <w:name w:val="Hyperlink"/>
    <w:basedOn w:val="DefaultParagraphFont"/>
    <w:uiPriority w:val="99"/>
    <w:unhideWhenUsed/>
    <w:rsid w:val="000A4BB9"/>
    <w:rPr>
      <w:color w:val="0563C1" w:themeColor="hyperlink"/>
      <w:u w:val="single"/>
    </w:rPr>
  </w:style>
  <w:style w:type="character" w:customStyle="1" w:styleId="UnresolvedMention1">
    <w:name w:val="Unresolved Mention1"/>
    <w:basedOn w:val="DefaultParagraphFont"/>
    <w:uiPriority w:val="99"/>
    <w:semiHidden/>
    <w:unhideWhenUsed/>
    <w:rsid w:val="000A4BB9"/>
    <w:rPr>
      <w:color w:val="605E5C"/>
      <w:shd w:val="clear" w:color="auto" w:fill="E1DFDD"/>
    </w:rPr>
  </w:style>
  <w:style w:type="paragraph" w:styleId="BalloonText">
    <w:name w:val="Balloon Text"/>
    <w:basedOn w:val="Normal"/>
    <w:link w:val="BalloonTextChar"/>
    <w:uiPriority w:val="99"/>
    <w:semiHidden/>
    <w:unhideWhenUsed/>
    <w:rsid w:val="00971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044"/>
    <w:rPr>
      <w:rFonts w:ascii="Segoe UI" w:hAnsi="Segoe UI" w:cs="Segoe UI"/>
      <w:sz w:val="18"/>
      <w:szCs w:val="18"/>
    </w:rPr>
  </w:style>
  <w:style w:type="paragraph" w:styleId="ListParagraph">
    <w:name w:val="List Paragraph"/>
    <w:basedOn w:val="Normal"/>
    <w:uiPriority w:val="34"/>
    <w:qFormat/>
    <w:rsid w:val="00971044"/>
    <w:pPr>
      <w:ind w:left="720"/>
      <w:contextualSpacing/>
    </w:pPr>
  </w:style>
  <w:style w:type="character" w:styleId="CommentReference">
    <w:name w:val="annotation reference"/>
    <w:basedOn w:val="DefaultParagraphFont"/>
    <w:uiPriority w:val="99"/>
    <w:semiHidden/>
    <w:unhideWhenUsed/>
    <w:rsid w:val="00FD627C"/>
    <w:rPr>
      <w:sz w:val="16"/>
      <w:szCs w:val="16"/>
    </w:rPr>
  </w:style>
  <w:style w:type="paragraph" w:styleId="CommentText">
    <w:name w:val="annotation text"/>
    <w:basedOn w:val="Normal"/>
    <w:link w:val="CommentTextChar"/>
    <w:uiPriority w:val="99"/>
    <w:unhideWhenUsed/>
    <w:rsid w:val="00FD627C"/>
    <w:pPr>
      <w:spacing w:line="240" w:lineRule="auto"/>
    </w:pPr>
    <w:rPr>
      <w:sz w:val="20"/>
      <w:szCs w:val="20"/>
    </w:rPr>
  </w:style>
  <w:style w:type="character" w:customStyle="1" w:styleId="CommentTextChar">
    <w:name w:val="Comment Text Char"/>
    <w:basedOn w:val="DefaultParagraphFont"/>
    <w:link w:val="CommentText"/>
    <w:uiPriority w:val="99"/>
    <w:rsid w:val="00FD627C"/>
    <w:rPr>
      <w:sz w:val="20"/>
      <w:szCs w:val="20"/>
    </w:rPr>
  </w:style>
  <w:style w:type="paragraph" w:styleId="CommentSubject">
    <w:name w:val="annotation subject"/>
    <w:basedOn w:val="CommentText"/>
    <w:next w:val="CommentText"/>
    <w:link w:val="CommentSubjectChar"/>
    <w:uiPriority w:val="99"/>
    <w:semiHidden/>
    <w:unhideWhenUsed/>
    <w:rsid w:val="00FD627C"/>
    <w:rPr>
      <w:b/>
      <w:bCs/>
    </w:rPr>
  </w:style>
  <w:style w:type="character" w:customStyle="1" w:styleId="CommentSubjectChar">
    <w:name w:val="Comment Subject Char"/>
    <w:basedOn w:val="CommentTextChar"/>
    <w:link w:val="CommentSubject"/>
    <w:uiPriority w:val="99"/>
    <w:semiHidden/>
    <w:rsid w:val="00FD627C"/>
    <w:rPr>
      <w:b/>
      <w:bCs/>
      <w:sz w:val="20"/>
      <w:szCs w:val="20"/>
    </w:rPr>
  </w:style>
  <w:style w:type="paragraph" w:styleId="Revision">
    <w:name w:val="Revision"/>
    <w:hidden/>
    <w:uiPriority w:val="99"/>
    <w:semiHidden/>
    <w:rsid w:val="006227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377723">
      <w:bodyDiv w:val="1"/>
      <w:marLeft w:val="0"/>
      <w:marRight w:val="0"/>
      <w:marTop w:val="0"/>
      <w:marBottom w:val="0"/>
      <w:divBdr>
        <w:top w:val="none" w:sz="0" w:space="0" w:color="auto"/>
        <w:left w:val="none" w:sz="0" w:space="0" w:color="auto"/>
        <w:bottom w:val="none" w:sz="0" w:space="0" w:color="auto"/>
        <w:right w:val="none" w:sz="0" w:space="0" w:color="auto"/>
      </w:divBdr>
      <w:divsChild>
        <w:div w:id="1818062440">
          <w:marLeft w:val="0"/>
          <w:marRight w:val="0"/>
          <w:marTop w:val="0"/>
          <w:marBottom w:val="0"/>
          <w:divBdr>
            <w:top w:val="none" w:sz="0" w:space="0" w:color="auto"/>
            <w:left w:val="none" w:sz="0" w:space="0" w:color="auto"/>
            <w:bottom w:val="none" w:sz="0" w:space="0" w:color="auto"/>
            <w:right w:val="none" w:sz="0" w:space="0" w:color="auto"/>
          </w:divBdr>
        </w:div>
      </w:divsChild>
    </w:div>
    <w:div w:id="1402681389">
      <w:bodyDiv w:val="1"/>
      <w:marLeft w:val="0"/>
      <w:marRight w:val="0"/>
      <w:marTop w:val="0"/>
      <w:marBottom w:val="0"/>
      <w:divBdr>
        <w:top w:val="none" w:sz="0" w:space="0" w:color="auto"/>
        <w:left w:val="none" w:sz="0" w:space="0" w:color="auto"/>
        <w:bottom w:val="none" w:sz="0" w:space="0" w:color="auto"/>
        <w:right w:val="none" w:sz="0" w:space="0" w:color="auto"/>
      </w:divBdr>
      <w:divsChild>
        <w:div w:id="460074396">
          <w:marLeft w:val="0"/>
          <w:marRight w:val="0"/>
          <w:marTop w:val="0"/>
          <w:marBottom w:val="0"/>
          <w:divBdr>
            <w:top w:val="none" w:sz="0" w:space="0" w:color="auto"/>
            <w:left w:val="none" w:sz="0" w:space="0" w:color="auto"/>
            <w:bottom w:val="none" w:sz="0" w:space="0" w:color="auto"/>
            <w:right w:val="none" w:sz="0" w:space="0" w:color="auto"/>
          </w:divBdr>
        </w:div>
      </w:divsChild>
    </w:div>
    <w:div w:id="1621573364">
      <w:bodyDiv w:val="1"/>
      <w:marLeft w:val="0"/>
      <w:marRight w:val="0"/>
      <w:marTop w:val="0"/>
      <w:marBottom w:val="0"/>
      <w:divBdr>
        <w:top w:val="none" w:sz="0" w:space="0" w:color="auto"/>
        <w:left w:val="none" w:sz="0" w:space="0" w:color="auto"/>
        <w:bottom w:val="none" w:sz="0" w:space="0" w:color="auto"/>
        <w:right w:val="none" w:sz="0" w:space="0" w:color="auto"/>
      </w:divBdr>
      <w:divsChild>
        <w:div w:id="2065516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2025-03-17T15:46:00Z</dcterms:created>
  <dcterms:modified xsi:type="dcterms:W3CDTF">2025-03-17T15:46:00Z</dcterms:modified>
</cp:coreProperties>
</file>