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7152" w14:textId="13C53F3A" w:rsidR="00C646CA" w:rsidRPr="000D7FF4" w:rsidRDefault="00C646CA" w:rsidP="000D7FF4">
      <w:pPr>
        <w:spacing w:after="0" w:line="240" w:lineRule="auto"/>
        <w:contextualSpacing/>
        <w:rPr>
          <w:rFonts w:cstheme="minorHAnsi"/>
          <w:b/>
        </w:rPr>
      </w:pPr>
      <w:r w:rsidRPr="000D7FF4">
        <w:rPr>
          <w:rFonts w:cstheme="minorHAnsi"/>
          <w:b/>
        </w:rPr>
        <w:t>OVERVIEW</w:t>
      </w:r>
    </w:p>
    <w:p w14:paraId="5B86E2D1" w14:textId="42B430D7" w:rsidR="000D7FF4" w:rsidRPr="000D7FF4" w:rsidRDefault="000D7FF4" w:rsidP="000D7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64F55"/>
          <w:sz w:val="22"/>
          <w:szCs w:val="22"/>
        </w:rPr>
      </w:pPr>
      <w:r w:rsidRPr="000D7FF4">
        <w:rPr>
          <w:rFonts w:asciiTheme="minorHAnsi" w:hAnsiTheme="minorHAnsi" w:cstheme="minorHAnsi"/>
          <w:color w:val="000000"/>
          <w:sz w:val="22"/>
          <w:szCs w:val="22"/>
        </w:rPr>
        <w:t xml:space="preserve">The Harvard Law School Food Law and Policy Clinic (FLPC) serves partner organizations and communities in the U.S. and around the world by providing guidance on </w:t>
      </w:r>
      <w:proofErr w:type="gramStart"/>
      <w:r w:rsidRPr="000D7FF4">
        <w:rPr>
          <w:rFonts w:asciiTheme="minorHAnsi" w:hAnsiTheme="minorHAnsi" w:cstheme="minorHAnsi"/>
          <w:color w:val="000000"/>
          <w:sz w:val="22"/>
          <w:szCs w:val="22"/>
        </w:rPr>
        <w:t>cutting-edge</w:t>
      </w:r>
      <w:proofErr w:type="gramEnd"/>
      <w:r w:rsidRPr="000D7FF4">
        <w:rPr>
          <w:rFonts w:asciiTheme="minorHAnsi" w:hAnsiTheme="minorHAnsi" w:cstheme="minorHAnsi"/>
          <w:color w:val="000000"/>
          <w:sz w:val="22"/>
          <w:szCs w:val="22"/>
        </w:rPr>
        <w:t xml:space="preserve"> food system issues</w:t>
      </w:r>
      <w:r w:rsidR="004D2762">
        <w:rPr>
          <w:rFonts w:asciiTheme="minorHAnsi" w:hAnsiTheme="minorHAnsi" w:cstheme="minorHAnsi"/>
          <w:color w:val="000000"/>
          <w:sz w:val="22"/>
          <w:szCs w:val="22"/>
        </w:rPr>
        <w:t>. F</w:t>
      </w:r>
      <w:r w:rsidR="004D2762" w:rsidRPr="004D2762">
        <w:rPr>
          <w:rFonts w:asciiTheme="minorHAnsi" w:hAnsiTheme="minorHAnsi" w:cstheme="minorHAnsi"/>
          <w:color w:val="000000"/>
          <w:sz w:val="22"/>
          <w:szCs w:val="22"/>
        </w:rPr>
        <w:t xml:space="preserve">LPC </w:t>
      </w:r>
      <w:r w:rsidR="004D2762" w:rsidRPr="004D276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offers students the opportunity to develop a robust law and policy skillset while engaging in a wide range of </w:t>
      </w:r>
      <w:r w:rsidR="00354FD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cross-cutting </w:t>
      </w:r>
      <w:r w:rsidR="004D2762" w:rsidRPr="004D276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issues that address the health, environmental, economic, and social impacts of food and agriculture.</w:t>
      </w:r>
      <w:r w:rsidR="004D2762" w:rsidRPr="000D7FF4">
        <w:rPr>
          <w:rFonts w:asciiTheme="minorHAnsi" w:hAnsiTheme="minorHAnsi" w:cstheme="minorHAnsi"/>
          <w:sz w:val="22"/>
          <w:szCs w:val="22"/>
        </w:rPr>
        <w:t xml:space="preserve"> </w:t>
      </w:r>
      <w:r w:rsidRPr="000D7FF4">
        <w:rPr>
          <w:rFonts w:asciiTheme="minorHAnsi" w:hAnsiTheme="minorHAnsi" w:cstheme="minorHAnsi"/>
          <w:sz w:val="22"/>
          <w:szCs w:val="22"/>
        </w:rPr>
        <w:t>FLPC’s work focuses on increasing access to healthy foods, supporting sustainable and equitable food production, reducing waste of healthy, wholesome food, and promoting community-led food system change.</w:t>
      </w:r>
    </w:p>
    <w:p w14:paraId="0BD0B520" w14:textId="60C13D40" w:rsidR="00C646CA" w:rsidRPr="000D7FF4" w:rsidRDefault="00C646CA" w:rsidP="000D7FF4">
      <w:pPr>
        <w:spacing w:after="0" w:line="240" w:lineRule="auto"/>
        <w:contextualSpacing/>
        <w:rPr>
          <w:rFonts w:cstheme="minorHAnsi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45"/>
        <w:gridCol w:w="6205"/>
      </w:tblGrid>
      <w:tr w:rsidR="0027750A" w:rsidRPr="000D7FF4" w14:paraId="77E7308F" w14:textId="77777777" w:rsidTr="0027750A">
        <w:tc>
          <w:tcPr>
            <w:tcW w:w="3145" w:type="dxa"/>
          </w:tcPr>
          <w:p w14:paraId="03BFE6C5" w14:textId="7C0EBAC2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SEMESTER(S) OFFERED</w:t>
            </w:r>
          </w:p>
        </w:tc>
        <w:tc>
          <w:tcPr>
            <w:tcW w:w="6205" w:type="dxa"/>
          </w:tcPr>
          <w:p w14:paraId="4D1F05C5" w14:textId="32BED99C" w:rsidR="0027750A" w:rsidRPr="000D7FF4" w:rsidRDefault="0027750A" w:rsidP="000D7FF4">
            <w:pPr>
              <w:contextualSpacing/>
              <w:rPr>
                <w:rFonts w:cstheme="minorHAnsi"/>
                <w:b/>
              </w:rPr>
            </w:pPr>
            <w:r w:rsidRPr="000D7FF4">
              <w:rPr>
                <w:rFonts w:cstheme="minorHAnsi"/>
              </w:rPr>
              <w:t>Fall and Spring</w:t>
            </w:r>
          </w:p>
        </w:tc>
      </w:tr>
      <w:tr w:rsidR="0027750A" w:rsidRPr="000D7FF4" w14:paraId="2FB5B711" w14:textId="77777777" w:rsidTr="0027750A">
        <w:tc>
          <w:tcPr>
            <w:tcW w:w="3145" w:type="dxa"/>
          </w:tcPr>
          <w:p w14:paraId="6DDBC7F5" w14:textId="68BCFF41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CLINICAL COURSE COMPONENT</w:t>
            </w:r>
          </w:p>
          <w:p w14:paraId="7B3EDC5A" w14:textId="77777777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05" w:type="dxa"/>
          </w:tcPr>
          <w:p w14:paraId="5EAF0804" w14:textId="0AF79897" w:rsidR="0027750A" w:rsidRPr="000D7FF4" w:rsidRDefault="0027750A" w:rsidP="000D7FF4">
            <w:pPr>
              <w:contextualSpacing/>
              <w:rPr>
                <w:rFonts w:cstheme="minorHAnsi"/>
              </w:rPr>
            </w:pPr>
            <w:r w:rsidRPr="000D7FF4">
              <w:rPr>
                <w:rFonts w:cstheme="minorHAnsi"/>
              </w:rPr>
              <w:t>Food Law and Policy Seminar (Fall and Spring)</w:t>
            </w:r>
          </w:p>
          <w:p w14:paraId="70878FE5" w14:textId="79F714A9" w:rsidR="0027750A" w:rsidRPr="000D7FF4" w:rsidRDefault="0027750A" w:rsidP="000D7FF4">
            <w:pPr>
              <w:contextualSpacing/>
              <w:rPr>
                <w:rFonts w:cstheme="minorHAnsi"/>
                <w:b/>
              </w:rPr>
            </w:pPr>
            <w:r w:rsidRPr="000D7FF4">
              <w:rPr>
                <w:rFonts w:cstheme="minorHAnsi"/>
              </w:rPr>
              <w:t>Policy Advocacy Workshop (Spring)</w:t>
            </w:r>
          </w:p>
        </w:tc>
      </w:tr>
      <w:tr w:rsidR="0027750A" w:rsidRPr="000D7FF4" w14:paraId="478D24ED" w14:textId="77777777" w:rsidTr="0027750A">
        <w:tc>
          <w:tcPr>
            <w:tcW w:w="3145" w:type="dxa"/>
          </w:tcPr>
          <w:p w14:paraId="693CCF41" w14:textId="66CB170B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COURSE CREDITS</w:t>
            </w:r>
          </w:p>
        </w:tc>
        <w:tc>
          <w:tcPr>
            <w:tcW w:w="6205" w:type="dxa"/>
          </w:tcPr>
          <w:p w14:paraId="1D413750" w14:textId="16E08CF6" w:rsidR="0027750A" w:rsidRPr="000D7FF4" w:rsidRDefault="0027750A" w:rsidP="000D7FF4">
            <w:pPr>
              <w:contextualSpacing/>
              <w:rPr>
                <w:rFonts w:cstheme="minorHAnsi"/>
                <w:b/>
              </w:rPr>
            </w:pPr>
            <w:r w:rsidRPr="000D7FF4">
              <w:rPr>
                <w:rFonts w:cstheme="minorHAnsi"/>
              </w:rPr>
              <w:t>Courses are 2 credits each</w:t>
            </w:r>
          </w:p>
        </w:tc>
      </w:tr>
      <w:tr w:rsidR="0027750A" w:rsidRPr="000D7FF4" w14:paraId="6E0344E1" w14:textId="77777777" w:rsidTr="0027750A">
        <w:tc>
          <w:tcPr>
            <w:tcW w:w="3145" w:type="dxa"/>
          </w:tcPr>
          <w:p w14:paraId="0CCE80A0" w14:textId="10A0B956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CLINICAL CREDITS</w:t>
            </w:r>
          </w:p>
        </w:tc>
        <w:tc>
          <w:tcPr>
            <w:tcW w:w="6205" w:type="dxa"/>
          </w:tcPr>
          <w:p w14:paraId="43EEBFF8" w14:textId="050BDC79" w:rsidR="0027750A" w:rsidRPr="000D7FF4" w:rsidRDefault="0027750A" w:rsidP="000D7FF4">
            <w:pPr>
              <w:contextualSpacing/>
              <w:rPr>
                <w:rFonts w:cstheme="minorHAnsi"/>
                <w:b/>
              </w:rPr>
            </w:pPr>
            <w:r w:rsidRPr="000D7FF4">
              <w:rPr>
                <w:rFonts w:cstheme="minorHAnsi"/>
              </w:rPr>
              <w:t>Student</w:t>
            </w:r>
            <w:r w:rsidR="00372CDC">
              <w:rPr>
                <w:rFonts w:cstheme="minorHAnsi"/>
              </w:rPr>
              <w:t>s</w:t>
            </w:r>
            <w:r w:rsidRPr="000D7FF4">
              <w:rPr>
                <w:rFonts w:cstheme="minorHAnsi"/>
              </w:rPr>
              <w:t xml:space="preserve"> may register for 3, 4, or 5 credits</w:t>
            </w:r>
          </w:p>
        </w:tc>
      </w:tr>
      <w:tr w:rsidR="0027750A" w:rsidRPr="000D7FF4" w14:paraId="346BCF30" w14:textId="77777777" w:rsidTr="0027750A">
        <w:tc>
          <w:tcPr>
            <w:tcW w:w="3145" w:type="dxa"/>
          </w:tcPr>
          <w:p w14:paraId="303241C5" w14:textId="6210710D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6205" w:type="dxa"/>
          </w:tcPr>
          <w:p w14:paraId="03029379" w14:textId="739CF3A2" w:rsidR="0027750A" w:rsidRPr="000D7FF4" w:rsidRDefault="00172A61" w:rsidP="000D7FF4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On campus at the </w:t>
            </w:r>
            <w:r w:rsidR="0027750A" w:rsidRPr="000D7FF4">
              <w:rPr>
                <w:rFonts w:cstheme="minorHAnsi"/>
              </w:rPr>
              <w:t>Center for Health Law and Policy Innovation suite at 1607 Massachusetts Avenue, 4</w:t>
            </w:r>
            <w:r w:rsidR="0027750A" w:rsidRPr="000D7FF4">
              <w:rPr>
                <w:rFonts w:cstheme="minorHAnsi"/>
                <w:vertAlign w:val="superscript"/>
              </w:rPr>
              <w:t>th</w:t>
            </w:r>
            <w:r w:rsidR="0027750A" w:rsidRPr="000D7FF4">
              <w:rPr>
                <w:rFonts w:cstheme="minorHAnsi"/>
              </w:rPr>
              <w:t xml:space="preserve"> floor; students may also work remotely</w:t>
            </w:r>
          </w:p>
        </w:tc>
      </w:tr>
      <w:tr w:rsidR="0027750A" w:rsidRPr="000D7FF4" w14:paraId="055DF381" w14:textId="77777777" w:rsidTr="0027750A">
        <w:tc>
          <w:tcPr>
            <w:tcW w:w="3145" w:type="dxa"/>
          </w:tcPr>
          <w:p w14:paraId="4A4CFAC8" w14:textId="2BCDF4BE" w:rsidR="0027750A" w:rsidRPr="000D7FF4" w:rsidRDefault="0027750A" w:rsidP="000D7FF4">
            <w:pPr>
              <w:contextualSpacing/>
              <w:rPr>
                <w:rFonts w:cstheme="minorHAnsi"/>
                <w:b/>
                <w:bCs/>
              </w:rPr>
            </w:pPr>
            <w:r w:rsidRPr="000D7FF4">
              <w:rPr>
                <w:rFonts w:cstheme="minorHAnsi"/>
                <w:b/>
                <w:bCs/>
              </w:rPr>
              <w:t>REGISTRATION TYPE</w:t>
            </w:r>
          </w:p>
        </w:tc>
        <w:tc>
          <w:tcPr>
            <w:tcW w:w="6205" w:type="dxa"/>
          </w:tcPr>
          <w:p w14:paraId="7C1EC19A" w14:textId="780CA6AF" w:rsidR="0027750A" w:rsidRPr="000D7FF4" w:rsidRDefault="0027750A" w:rsidP="000D7FF4">
            <w:pPr>
              <w:contextualSpacing/>
              <w:rPr>
                <w:rFonts w:cstheme="minorHAnsi"/>
              </w:rPr>
            </w:pPr>
            <w:r w:rsidRPr="000D7FF4">
              <w:rPr>
                <w:rFonts w:cstheme="minorHAnsi"/>
              </w:rPr>
              <w:t>By Helios Preferences</w:t>
            </w:r>
          </w:p>
        </w:tc>
      </w:tr>
    </w:tbl>
    <w:p w14:paraId="7057BC07" w14:textId="77777777" w:rsidR="00C646CA" w:rsidRPr="000D7FF4" w:rsidRDefault="00C646CA" w:rsidP="000D7FF4">
      <w:pPr>
        <w:spacing w:after="0" w:line="240" w:lineRule="auto"/>
        <w:contextualSpacing/>
        <w:rPr>
          <w:rFonts w:cstheme="minorHAnsi"/>
          <w:b/>
        </w:rPr>
      </w:pPr>
    </w:p>
    <w:p w14:paraId="5429ADE5" w14:textId="0B504429" w:rsidR="001A58CD" w:rsidRPr="000D7FF4" w:rsidRDefault="001A58CD" w:rsidP="000D7FF4">
      <w:pPr>
        <w:spacing w:after="0" w:line="240" w:lineRule="auto"/>
        <w:contextualSpacing/>
        <w:rPr>
          <w:rFonts w:cstheme="minorHAnsi"/>
          <w:b/>
        </w:rPr>
      </w:pPr>
      <w:r w:rsidRPr="000D7FF4">
        <w:rPr>
          <w:rFonts w:cstheme="minorHAnsi"/>
          <w:b/>
        </w:rPr>
        <w:t>TYPES OF CASES/CLIENTS</w:t>
      </w:r>
      <w:r w:rsidR="00C646CA" w:rsidRPr="000D7FF4">
        <w:rPr>
          <w:rFonts w:cstheme="minorHAnsi"/>
          <w:b/>
        </w:rPr>
        <w:t>/PROJECTS</w:t>
      </w:r>
    </w:p>
    <w:p w14:paraId="1B13C274" w14:textId="2F36EAAB" w:rsidR="000D7FF4" w:rsidRDefault="000D7FF4" w:rsidP="000D7F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D7FF4">
        <w:rPr>
          <w:rFonts w:cstheme="minorHAnsi"/>
          <w:color w:val="000000"/>
        </w:rPr>
        <w:t xml:space="preserve">Students in the Harvard Law School Food Law and Policy Clinic (FLPC) engage in action-based learning to gain a deeper understanding of the complex challenges facing our food system. </w:t>
      </w:r>
      <w:r w:rsidR="00596EDA">
        <w:rPr>
          <w:rStyle w:val="normaltextrun"/>
          <w:rFonts w:cstheme="minorHAnsi"/>
          <w:color w:val="000000"/>
          <w:shd w:val="clear" w:color="auto" w:fill="FFFFFF"/>
        </w:rPr>
        <w:t>Clinical students</w:t>
      </w:r>
      <w:r w:rsidR="00354FD4" w:rsidRPr="004D2762">
        <w:rPr>
          <w:rStyle w:val="normaltextrun"/>
          <w:rFonts w:cstheme="minorHAnsi"/>
          <w:color w:val="000000"/>
          <w:shd w:val="clear" w:color="auto" w:fill="FFFFFF"/>
        </w:rPr>
        <w:t xml:space="preserve"> combine legal research and analysis as well as policy advocacy to assist community members, clients, partners, and government agencies to understand and improve laws impacting the food system.</w:t>
      </w:r>
      <w:r w:rsidR="00354FD4">
        <w:rPr>
          <w:rStyle w:val="eop"/>
          <w:color w:val="000000"/>
          <w:shd w:val="clear" w:color="auto" w:fill="FFFFFF"/>
        </w:rPr>
        <w:t> </w:t>
      </w:r>
      <w:r w:rsidRPr="000D7FF4">
        <w:rPr>
          <w:rFonts w:cstheme="minorHAnsi"/>
          <w:color w:val="000000"/>
        </w:rPr>
        <w:t xml:space="preserve">In doing so, students are asked to turn their academic training into creative, tangible legal and policy solutions to real-world food system challenges. </w:t>
      </w:r>
    </w:p>
    <w:p w14:paraId="15C1D268" w14:textId="77777777" w:rsidR="00187B87" w:rsidRPr="000D7FF4" w:rsidRDefault="00187B87" w:rsidP="000D7F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423422" w14:textId="77777777" w:rsidR="002D5EB4" w:rsidRDefault="000D7FF4" w:rsidP="000D7F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 xml:space="preserve">FLPC’s portfolio includes the following four focus areas: </w:t>
      </w:r>
    </w:p>
    <w:p w14:paraId="3B922323" w14:textId="77777777" w:rsidR="002D5EB4" w:rsidRDefault="00B3222A" w:rsidP="000D7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EB4">
        <w:rPr>
          <w:rFonts w:cstheme="minorHAnsi"/>
        </w:rPr>
        <w:t>Food System Justice</w:t>
      </w:r>
    </w:p>
    <w:p w14:paraId="498DAB56" w14:textId="77777777" w:rsidR="002D5EB4" w:rsidRDefault="000D7FF4" w:rsidP="000D7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EB4">
        <w:rPr>
          <w:rFonts w:cstheme="minorHAnsi"/>
        </w:rPr>
        <w:t>Food Access and Nutrition</w:t>
      </w:r>
    </w:p>
    <w:p w14:paraId="48678590" w14:textId="77777777" w:rsidR="002D5EB4" w:rsidRDefault="000D7FF4" w:rsidP="000D7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EB4">
        <w:rPr>
          <w:rFonts w:cstheme="minorHAnsi"/>
        </w:rPr>
        <w:t>Food Waste and Recovery</w:t>
      </w:r>
    </w:p>
    <w:p w14:paraId="1188A0C9" w14:textId="7BC4CFDF" w:rsidR="000D7FF4" w:rsidRPr="002D5EB4" w:rsidRDefault="00B3222A" w:rsidP="000D7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EB4">
        <w:rPr>
          <w:rFonts w:cstheme="minorHAnsi"/>
        </w:rPr>
        <w:t>Climate and Sustainability</w:t>
      </w:r>
    </w:p>
    <w:p w14:paraId="4389C26F" w14:textId="18D864FE" w:rsidR="00C5557E" w:rsidRDefault="00C5557E" w:rsidP="000D7FF4">
      <w:pPr>
        <w:spacing w:after="0" w:line="240" w:lineRule="auto"/>
        <w:contextualSpacing/>
        <w:rPr>
          <w:rFonts w:cstheme="minorHAnsi"/>
        </w:rPr>
      </w:pPr>
    </w:p>
    <w:p w14:paraId="40A726BC" w14:textId="06C6EB42" w:rsidR="007661CC" w:rsidRDefault="007661CC" w:rsidP="000D7FF4">
      <w:pPr>
        <w:spacing w:after="0" w:line="240" w:lineRule="auto"/>
        <w:contextualSpacing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color w:val="000000" w:themeColor="text1"/>
          <w:lang w:val="en"/>
        </w:rPr>
        <w:t>Students are typically assigned 1-</w:t>
      </w:r>
      <w:r w:rsidR="00414043">
        <w:rPr>
          <w:rFonts w:ascii="Calibri" w:eastAsia="Calibri" w:hAnsi="Calibri" w:cs="Calibri"/>
          <w:color w:val="000000" w:themeColor="text1"/>
          <w:lang w:val="en"/>
        </w:rPr>
        <w:t>2</w:t>
      </w:r>
      <w:r>
        <w:rPr>
          <w:rFonts w:ascii="Calibri" w:eastAsia="Calibri" w:hAnsi="Calibri" w:cs="Calibri"/>
          <w:color w:val="000000" w:themeColor="text1"/>
          <w:lang w:val="en"/>
        </w:rPr>
        <w:t xml:space="preserve"> projects over the course of the semester. </w:t>
      </w:r>
      <w:proofErr w:type="gramStart"/>
      <w:r>
        <w:rPr>
          <w:rFonts w:ascii="Calibri" w:eastAsia="Calibri" w:hAnsi="Calibri" w:cs="Calibri"/>
          <w:color w:val="000000" w:themeColor="text1"/>
          <w:lang w:val="en"/>
        </w:rPr>
        <w:t>Some of</w:t>
      </w:r>
      <w:proofErr w:type="gramEnd"/>
      <w:r>
        <w:rPr>
          <w:rFonts w:ascii="Calibri" w:eastAsia="Calibri" w:hAnsi="Calibri" w:cs="Calibri"/>
          <w:color w:val="000000" w:themeColor="text1"/>
          <w:lang w:val="en"/>
        </w:rPr>
        <w:t xml:space="preserve"> the</w:t>
      </w:r>
      <w:r w:rsidRPr="304BB9F9">
        <w:rPr>
          <w:rFonts w:ascii="Calibri" w:eastAsia="Calibri" w:hAnsi="Calibri" w:cs="Calibri"/>
          <w:color w:val="000000" w:themeColor="text1"/>
          <w:lang w:val="en"/>
        </w:rPr>
        <w:t xml:space="preserve"> projects are larger undertakings that will include multiple students</w:t>
      </w:r>
      <w:r>
        <w:rPr>
          <w:rFonts w:ascii="Calibri" w:eastAsia="Calibri" w:hAnsi="Calibri" w:cs="Calibri"/>
          <w:color w:val="000000" w:themeColor="text1"/>
          <w:lang w:val="en"/>
        </w:rPr>
        <w:t xml:space="preserve"> and last beyond the end of the</w:t>
      </w:r>
      <w:r w:rsidRPr="304BB9F9">
        <w:rPr>
          <w:rFonts w:ascii="Calibri" w:eastAsia="Calibri" w:hAnsi="Calibri" w:cs="Calibri"/>
          <w:color w:val="000000" w:themeColor="text1"/>
          <w:lang w:val="en"/>
        </w:rPr>
        <w:t xml:space="preserve"> clinical experience. Others are small projects and might be a second project for a student working as part of a team on a larger project. </w:t>
      </w:r>
    </w:p>
    <w:p w14:paraId="4ADD5AE7" w14:textId="77777777" w:rsidR="007661CC" w:rsidRPr="000D7FF4" w:rsidRDefault="007661CC" w:rsidP="000D7FF4">
      <w:pPr>
        <w:spacing w:after="0" w:line="240" w:lineRule="auto"/>
        <w:contextualSpacing/>
        <w:rPr>
          <w:rFonts w:cstheme="minorHAnsi"/>
        </w:rPr>
      </w:pPr>
    </w:p>
    <w:p w14:paraId="16F4EA54" w14:textId="77777777" w:rsidR="00C5557E" w:rsidRPr="000D7FF4" w:rsidRDefault="00C5557E" w:rsidP="000D7FF4">
      <w:pPr>
        <w:spacing w:after="0" w:line="240" w:lineRule="auto"/>
        <w:contextualSpacing/>
        <w:rPr>
          <w:rFonts w:cstheme="minorHAnsi"/>
          <w:b/>
        </w:rPr>
      </w:pPr>
      <w:r w:rsidRPr="000D7FF4">
        <w:rPr>
          <w:rFonts w:cstheme="minorHAnsi"/>
          <w:b/>
        </w:rPr>
        <w:t>SKILLS</w:t>
      </w:r>
    </w:p>
    <w:p w14:paraId="7A927C9F" w14:textId="77777777" w:rsidR="00610541" w:rsidRPr="00610541" w:rsidRDefault="00610541" w:rsidP="006105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FLPC students practice a variety of transferable skills not otherwise gained in the classroom, including: 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AF0D0A" w14:textId="77777777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Interviewing clients and/or stakeholders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58F79A" w14:textId="77777777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Writing formal legal or policy memos, explanatory guides, toolkits, or public-facing reports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5E0C8C" w14:textId="77777777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Drafting and reviewing legislation and regulatory comments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6E223C" w14:textId="77777777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Community organizing and coalition building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DDBE04" w14:textId="77777777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Public speaking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13C8C8" w14:textId="4789FDE3" w:rsidR="00610541" w:rsidRPr="00610541" w:rsidRDefault="00610541" w:rsidP="0061054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610541">
        <w:rPr>
          <w:rStyle w:val="normaltextrun"/>
          <w:rFonts w:asciiTheme="minorHAnsi" w:hAnsiTheme="minorHAnsi" w:cstheme="minorHAnsi"/>
          <w:sz w:val="22"/>
          <w:szCs w:val="22"/>
        </w:rPr>
        <w:t>Writing communications/media material (e.g., blog posts and op-eds)</w:t>
      </w:r>
      <w:r w:rsidRPr="006105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8A746E" w14:textId="0B703BBC" w:rsidR="00C646CA" w:rsidRPr="000D7FF4" w:rsidRDefault="00C646CA" w:rsidP="000D7FF4">
      <w:pPr>
        <w:spacing w:after="0" w:line="240" w:lineRule="auto"/>
        <w:contextualSpacing/>
        <w:rPr>
          <w:rFonts w:cstheme="minorHAnsi"/>
        </w:rPr>
      </w:pPr>
    </w:p>
    <w:p w14:paraId="789D8280" w14:textId="047E499A" w:rsidR="001A58CD" w:rsidRPr="000D7FF4" w:rsidRDefault="001A58CD" w:rsidP="000D7FF4">
      <w:pPr>
        <w:spacing w:after="0" w:line="240" w:lineRule="auto"/>
        <w:contextualSpacing/>
        <w:rPr>
          <w:rFonts w:cstheme="minorHAnsi"/>
        </w:rPr>
      </w:pPr>
    </w:p>
    <w:p w14:paraId="7BDA3F88" w14:textId="498D7FB5" w:rsidR="001A58CD" w:rsidRPr="000D7FF4" w:rsidRDefault="001A58CD" w:rsidP="000D7FF4">
      <w:pPr>
        <w:spacing w:after="0" w:line="240" w:lineRule="auto"/>
        <w:contextualSpacing/>
        <w:rPr>
          <w:rFonts w:cstheme="minorHAnsi"/>
          <w:b/>
        </w:rPr>
      </w:pPr>
      <w:r w:rsidRPr="000D7FF4">
        <w:rPr>
          <w:rFonts w:cstheme="minorHAnsi"/>
          <w:b/>
        </w:rPr>
        <w:lastRenderedPageBreak/>
        <w:t>TYPICAL WORK SCHEDULE</w:t>
      </w:r>
    </w:p>
    <w:p w14:paraId="1A1826B4" w14:textId="006F50CD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Students who enroll in the Food Law and Policy Clinic engage in a variety of topics and projects</w:t>
      </w:r>
      <w:proofErr w:type="gramStart"/>
      <w:r w:rsidRPr="000D7FF4">
        <w:rPr>
          <w:rFonts w:cstheme="minorHAnsi"/>
        </w:rPr>
        <w:t xml:space="preserve">.  </w:t>
      </w:r>
      <w:proofErr w:type="gramEnd"/>
      <w:r w:rsidRPr="000D7FF4">
        <w:rPr>
          <w:rFonts w:cstheme="minorHAnsi"/>
        </w:rPr>
        <w:t xml:space="preserve">Work in the clinic is often a combination of independent tasks, partner and/or team-based projects, oral and written advocacy, in-depth legal </w:t>
      </w:r>
      <w:proofErr w:type="gramStart"/>
      <w:r w:rsidRPr="000D7FF4">
        <w:rPr>
          <w:rFonts w:cstheme="minorHAnsi"/>
        </w:rPr>
        <w:t>research</w:t>
      </w:r>
      <w:proofErr w:type="gramEnd"/>
      <w:r w:rsidRPr="000D7FF4">
        <w:rPr>
          <w:rFonts w:cstheme="minorHAnsi"/>
        </w:rPr>
        <w:t xml:space="preserve"> and writing, drafting a variety of documents including issue briefs and proposed legislation, and meeting with outside clients, partners, and other stakeholders.  Some students have the opportunity to travel domestically to places like Washington</w:t>
      </w:r>
      <w:r w:rsidR="00187B87">
        <w:rPr>
          <w:rFonts w:cstheme="minorHAnsi"/>
        </w:rPr>
        <w:t>,</w:t>
      </w:r>
      <w:r w:rsidRPr="000D7FF4">
        <w:rPr>
          <w:rFonts w:cstheme="minorHAnsi"/>
        </w:rPr>
        <w:t xml:space="preserve"> D</w:t>
      </w:r>
      <w:r w:rsidR="00212C52">
        <w:rPr>
          <w:rFonts w:cstheme="minorHAnsi"/>
        </w:rPr>
        <w:t>.</w:t>
      </w:r>
      <w:r w:rsidRPr="000D7FF4">
        <w:rPr>
          <w:rFonts w:cstheme="minorHAnsi"/>
        </w:rPr>
        <w:t>C</w:t>
      </w:r>
      <w:r w:rsidR="00212C52">
        <w:rPr>
          <w:rFonts w:cstheme="minorHAnsi"/>
        </w:rPr>
        <w:t>.</w:t>
      </w:r>
      <w:r w:rsidRPr="000D7FF4">
        <w:rPr>
          <w:rFonts w:cstheme="minorHAnsi"/>
        </w:rPr>
        <w:t xml:space="preserve"> to meet with clients and engage in advocacy, while others are able to travel internationally to meet with clients working to advocate for changes to food law and policy abroad</w:t>
      </w:r>
      <w:proofErr w:type="gramStart"/>
      <w:r w:rsidRPr="000D7FF4">
        <w:rPr>
          <w:rFonts w:cstheme="minorHAnsi"/>
        </w:rPr>
        <w:t xml:space="preserve">.  </w:t>
      </w:r>
      <w:proofErr w:type="gramEnd"/>
      <w:r w:rsidRPr="000D7FF4">
        <w:rPr>
          <w:rFonts w:cstheme="minorHAnsi"/>
        </w:rPr>
        <w:t>Students meet with their project supervisors on a weekly basis and attend rounds presentations where they learn about other projects in the clinic</w:t>
      </w:r>
      <w:proofErr w:type="gramStart"/>
      <w:r w:rsidRPr="000D7FF4">
        <w:rPr>
          <w:rFonts w:cstheme="minorHAnsi"/>
        </w:rPr>
        <w:t xml:space="preserve">.  </w:t>
      </w:r>
      <w:proofErr w:type="gramEnd"/>
      <w:r w:rsidRPr="000D7FF4">
        <w:rPr>
          <w:rFonts w:cstheme="minorHAnsi"/>
        </w:rPr>
        <w:t>Clinic work can be completed either in the clinic office or remotely.</w:t>
      </w:r>
    </w:p>
    <w:p w14:paraId="2B91958B" w14:textId="77777777" w:rsidR="00A55042" w:rsidRPr="000D7FF4" w:rsidRDefault="00A55042" w:rsidP="000D7FF4">
      <w:pPr>
        <w:spacing w:after="0" w:line="240" w:lineRule="auto"/>
        <w:rPr>
          <w:rFonts w:cstheme="minorHAnsi"/>
        </w:rPr>
      </w:pPr>
    </w:p>
    <w:p w14:paraId="0B22BA49" w14:textId="77777777" w:rsidR="00A55042" w:rsidRPr="000D7FF4" w:rsidRDefault="00A55042" w:rsidP="000D7FF4">
      <w:pPr>
        <w:spacing w:after="0" w:line="240" w:lineRule="auto"/>
        <w:rPr>
          <w:rFonts w:cstheme="minorHAnsi"/>
          <w:u w:val="single"/>
        </w:rPr>
      </w:pPr>
      <w:r w:rsidRPr="000D7FF4">
        <w:rPr>
          <w:rFonts w:cstheme="minorHAnsi"/>
          <w:u w:val="single"/>
        </w:rPr>
        <w:t>Sample schedule</w:t>
      </w:r>
    </w:p>
    <w:p w14:paraId="4E512C41" w14:textId="046E1632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9:00</w:t>
      </w:r>
      <w:r w:rsidR="004139DA">
        <w:rPr>
          <w:rFonts w:cstheme="minorHAnsi"/>
        </w:rPr>
        <w:t>am</w:t>
      </w:r>
      <w:r w:rsidRPr="000D7FF4">
        <w:rPr>
          <w:rFonts w:cstheme="minorHAnsi"/>
        </w:rPr>
        <w:t xml:space="preserve"> – 10:00am       Meet with project supervisor to discuss recent </w:t>
      </w:r>
      <w:r w:rsidR="009619C1">
        <w:rPr>
          <w:rFonts w:cstheme="minorHAnsi"/>
        </w:rPr>
        <w:t>FDA regulations on health</w:t>
      </w:r>
      <w:r w:rsidR="00612772">
        <w:rPr>
          <w:rFonts w:cstheme="minorHAnsi"/>
        </w:rPr>
        <w:t>y labels</w:t>
      </w:r>
    </w:p>
    <w:p w14:paraId="1B1B9A20" w14:textId="0B089D5D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10:00</w:t>
      </w:r>
      <w:r w:rsidR="004139DA">
        <w:rPr>
          <w:rFonts w:cstheme="minorHAnsi"/>
        </w:rPr>
        <w:t>am</w:t>
      </w:r>
      <w:r w:rsidR="00B3222A">
        <w:rPr>
          <w:rFonts w:cstheme="minorHAnsi"/>
        </w:rPr>
        <w:t xml:space="preserve"> – 10:15am    Chat with other clinic students (from both the Food Law and Health Law and Policy Clinics)</w:t>
      </w:r>
    </w:p>
    <w:p w14:paraId="0CF46F4E" w14:textId="3DE30D00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10:15</w:t>
      </w:r>
      <w:r w:rsidR="004139DA">
        <w:rPr>
          <w:rFonts w:cstheme="minorHAnsi"/>
        </w:rPr>
        <w:t>am</w:t>
      </w:r>
      <w:r w:rsidRPr="000D7FF4">
        <w:rPr>
          <w:rFonts w:cstheme="minorHAnsi"/>
        </w:rPr>
        <w:t xml:space="preserve"> – 11:45am    Watch Senate hearing on pending legislation, take notes to incorporate into future advocacy</w:t>
      </w:r>
    </w:p>
    <w:p w14:paraId="185EC739" w14:textId="1759F930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11:45am – 12:15pm    Meet with student partner to discuss project outline and split up work on issue brief</w:t>
      </w:r>
    </w:p>
    <w:p w14:paraId="070D9EEA" w14:textId="1D2084B9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12:</w:t>
      </w:r>
      <w:r w:rsidR="004139DA">
        <w:rPr>
          <w:rFonts w:cstheme="minorHAnsi"/>
        </w:rPr>
        <w:t>15pm</w:t>
      </w:r>
      <w:r w:rsidRPr="000D7FF4">
        <w:rPr>
          <w:rFonts w:cstheme="minorHAnsi"/>
        </w:rPr>
        <w:t xml:space="preserve"> – 1:15pm      </w:t>
      </w:r>
      <w:r w:rsidR="00612772">
        <w:rPr>
          <w:rFonts w:cstheme="minorHAnsi"/>
        </w:rPr>
        <w:t xml:space="preserve"> </w:t>
      </w:r>
      <w:r w:rsidRPr="000D7FF4">
        <w:rPr>
          <w:rFonts w:cstheme="minorHAnsi"/>
        </w:rPr>
        <w:t>Attend project rounds (lunch provided!), learn about other projects taking place in the clinic</w:t>
      </w:r>
    </w:p>
    <w:p w14:paraId="30963C3E" w14:textId="228837F7" w:rsidR="00A55042" w:rsidRPr="000D7FF4" w:rsidRDefault="00A55042" w:rsidP="000D7FF4">
      <w:pPr>
        <w:spacing w:after="0" w:line="240" w:lineRule="auto"/>
        <w:rPr>
          <w:rFonts w:cstheme="minorHAnsi"/>
        </w:rPr>
      </w:pPr>
      <w:r w:rsidRPr="000D7FF4">
        <w:rPr>
          <w:rFonts w:cstheme="minorHAnsi"/>
        </w:rPr>
        <w:t>1:30</w:t>
      </w:r>
      <w:r w:rsidR="004139DA">
        <w:rPr>
          <w:rFonts w:cstheme="minorHAnsi"/>
        </w:rPr>
        <w:t>pm</w:t>
      </w:r>
      <w:r w:rsidRPr="000D7FF4">
        <w:rPr>
          <w:rFonts w:cstheme="minorHAnsi"/>
        </w:rPr>
        <w:t xml:space="preserve"> – 3:30pm     </w:t>
      </w:r>
      <w:r w:rsidR="00FD7875">
        <w:rPr>
          <w:rFonts w:cstheme="minorHAnsi"/>
        </w:rPr>
        <w:t>    Attend Food Law and Policy S</w:t>
      </w:r>
      <w:r w:rsidRPr="000D7FF4">
        <w:rPr>
          <w:rFonts w:cstheme="minorHAnsi"/>
        </w:rPr>
        <w:t>eminar</w:t>
      </w:r>
    </w:p>
    <w:p w14:paraId="0E91EA12" w14:textId="40C93C67" w:rsidR="00A55042" w:rsidRPr="000D7FF4" w:rsidRDefault="00A55042" w:rsidP="000D7FF4">
      <w:pPr>
        <w:spacing w:after="0" w:line="240" w:lineRule="auto"/>
        <w:ind w:left="1440" w:hanging="1440"/>
        <w:rPr>
          <w:rFonts w:cstheme="minorHAnsi"/>
        </w:rPr>
      </w:pPr>
      <w:r w:rsidRPr="000D7FF4">
        <w:rPr>
          <w:rFonts w:cstheme="minorHAnsi"/>
        </w:rPr>
        <w:t>3:45</w:t>
      </w:r>
      <w:r w:rsidR="004139DA">
        <w:rPr>
          <w:rFonts w:cstheme="minorHAnsi"/>
        </w:rPr>
        <w:t>pm</w:t>
      </w:r>
      <w:r w:rsidRPr="000D7FF4">
        <w:rPr>
          <w:rFonts w:cstheme="minorHAnsi"/>
        </w:rPr>
        <w:t xml:space="preserve"> – 5:00pm         Research </w:t>
      </w:r>
      <w:r w:rsidR="00612772">
        <w:rPr>
          <w:rFonts w:cstheme="minorHAnsi"/>
        </w:rPr>
        <w:t>innovative Food is Medicine interventions</w:t>
      </w:r>
      <w:r w:rsidRPr="000D7FF4">
        <w:rPr>
          <w:rFonts w:cstheme="minorHAnsi"/>
        </w:rPr>
        <w:t xml:space="preserve"> to present to community-based client</w:t>
      </w:r>
    </w:p>
    <w:p w14:paraId="3E326209" w14:textId="511514CE" w:rsidR="00A74194" w:rsidRPr="000D7FF4" w:rsidRDefault="00A74194" w:rsidP="000D7FF4">
      <w:pPr>
        <w:spacing w:after="0" w:line="240" w:lineRule="auto"/>
        <w:contextualSpacing/>
        <w:rPr>
          <w:rFonts w:cstheme="minorHAnsi"/>
        </w:rPr>
      </w:pPr>
    </w:p>
    <w:sectPr w:rsidR="00A74194" w:rsidRPr="000D7FF4" w:rsidSect="00A4012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0278" w14:textId="77777777" w:rsidR="00642E58" w:rsidRDefault="00642E58" w:rsidP="00787970">
      <w:pPr>
        <w:spacing w:after="0" w:line="240" w:lineRule="auto"/>
      </w:pPr>
      <w:r>
        <w:separator/>
      </w:r>
    </w:p>
  </w:endnote>
  <w:endnote w:type="continuationSeparator" w:id="0">
    <w:p w14:paraId="5C693547" w14:textId="77777777" w:rsidR="00642E58" w:rsidRDefault="00642E58" w:rsidP="0078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0A8C28" w14:paraId="4DE56761" w14:textId="77777777" w:rsidTr="590A8C28">
      <w:trPr>
        <w:trHeight w:val="300"/>
      </w:trPr>
      <w:tc>
        <w:tcPr>
          <w:tcW w:w="3120" w:type="dxa"/>
        </w:tcPr>
        <w:p w14:paraId="1DBEB3F6" w14:textId="3E16444F" w:rsidR="590A8C28" w:rsidRDefault="590A8C28" w:rsidP="590A8C28">
          <w:pPr>
            <w:pStyle w:val="Header"/>
            <w:ind w:left="-115"/>
          </w:pPr>
        </w:p>
      </w:tc>
      <w:tc>
        <w:tcPr>
          <w:tcW w:w="3120" w:type="dxa"/>
        </w:tcPr>
        <w:p w14:paraId="53DF35E4" w14:textId="3E961CE3" w:rsidR="590A8C28" w:rsidRDefault="590A8C28" w:rsidP="590A8C28">
          <w:pPr>
            <w:pStyle w:val="Header"/>
            <w:jc w:val="center"/>
          </w:pPr>
        </w:p>
      </w:tc>
      <w:tc>
        <w:tcPr>
          <w:tcW w:w="3120" w:type="dxa"/>
        </w:tcPr>
        <w:p w14:paraId="241DB90A" w14:textId="1D835050" w:rsidR="590A8C28" w:rsidRDefault="590A8C28" w:rsidP="590A8C28">
          <w:pPr>
            <w:pStyle w:val="Header"/>
            <w:ind w:right="-115"/>
            <w:jc w:val="right"/>
          </w:pPr>
        </w:p>
      </w:tc>
    </w:tr>
  </w:tbl>
  <w:p w14:paraId="43834023" w14:textId="0F6B7708" w:rsidR="590A8C28" w:rsidRDefault="590A8C28" w:rsidP="590A8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D3C5" w14:textId="77777777" w:rsidR="00642E58" w:rsidRDefault="00642E58" w:rsidP="00787970">
      <w:pPr>
        <w:spacing w:after="0" w:line="240" w:lineRule="auto"/>
      </w:pPr>
      <w:r>
        <w:separator/>
      </w:r>
    </w:p>
  </w:footnote>
  <w:footnote w:type="continuationSeparator" w:id="0">
    <w:p w14:paraId="37550FB5" w14:textId="77777777" w:rsidR="00642E58" w:rsidRDefault="00642E58" w:rsidP="0078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4A87" w14:textId="011AF876" w:rsidR="590A8C28" w:rsidRDefault="0027750A" w:rsidP="590A8C28">
    <w:pPr>
      <w:spacing w:after="0" w:line="240" w:lineRule="auto"/>
      <w:contextualSpacing/>
      <w:jc w:val="center"/>
    </w:pPr>
    <w:r>
      <w:rPr>
        <w:noProof/>
      </w:rPr>
      <w:drawing>
        <wp:inline distT="0" distB="0" distL="0" distR="0" wp14:anchorId="02BA84D6" wp14:editId="532A0512">
          <wp:extent cx="2518914" cy="9340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PC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284" cy="94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36A2"/>
    <w:multiLevelType w:val="hybridMultilevel"/>
    <w:tmpl w:val="5AAA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371"/>
    <w:multiLevelType w:val="hybridMultilevel"/>
    <w:tmpl w:val="4DF2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365B"/>
    <w:multiLevelType w:val="multilevel"/>
    <w:tmpl w:val="E34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2461A0"/>
    <w:multiLevelType w:val="multilevel"/>
    <w:tmpl w:val="0D76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F3A15"/>
    <w:multiLevelType w:val="multilevel"/>
    <w:tmpl w:val="E95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3316A0"/>
    <w:multiLevelType w:val="multilevel"/>
    <w:tmpl w:val="6A52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53FAD"/>
    <w:multiLevelType w:val="multilevel"/>
    <w:tmpl w:val="438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E92BBC"/>
    <w:multiLevelType w:val="hybridMultilevel"/>
    <w:tmpl w:val="2ED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6C1"/>
    <w:multiLevelType w:val="hybridMultilevel"/>
    <w:tmpl w:val="7996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05CDB"/>
    <w:multiLevelType w:val="multilevel"/>
    <w:tmpl w:val="112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646378">
    <w:abstractNumId w:val="8"/>
  </w:num>
  <w:num w:numId="2" w16cid:durableId="1750925765">
    <w:abstractNumId w:val="1"/>
  </w:num>
  <w:num w:numId="3" w16cid:durableId="433328274">
    <w:abstractNumId w:val="5"/>
  </w:num>
  <w:num w:numId="4" w16cid:durableId="1991326788">
    <w:abstractNumId w:val="3"/>
  </w:num>
  <w:num w:numId="5" w16cid:durableId="988828561">
    <w:abstractNumId w:val="6"/>
  </w:num>
  <w:num w:numId="6" w16cid:durableId="552353082">
    <w:abstractNumId w:val="2"/>
  </w:num>
  <w:num w:numId="7" w16cid:durableId="557979280">
    <w:abstractNumId w:val="4"/>
  </w:num>
  <w:num w:numId="8" w16cid:durableId="1017119323">
    <w:abstractNumId w:val="9"/>
  </w:num>
  <w:num w:numId="9" w16cid:durableId="1206675463">
    <w:abstractNumId w:val="0"/>
  </w:num>
  <w:num w:numId="10" w16cid:durableId="179396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E8"/>
    <w:rsid w:val="000A4BB9"/>
    <w:rsid w:val="000D7FF4"/>
    <w:rsid w:val="00172A61"/>
    <w:rsid w:val="00187B87"/>
    <w:rsid w:val="001A58CD"/>
    <w:rsid w:val="001E02A7"/>
    <w:rsid w:val="00212C52"/>
    <w:rsid w:val="00244C96"/>
    <w:rsid w:val="0027750A"/>
    <w:rsid w:val="002D5EB4"/>
    <w:rsid w:val="002D775D"/>
    <w:rsid w:val="00322FC8"/>
    <w:rsid w:val="00354FD4"/>
    <w:rsid w:val="00372CDC"/>
    <w:rsid w:val="004139DA"/>
    <w:rsid w:val="00414043"/>
    <w:rsid w:val="004D2762"/>
    <w:rsid w:val="0058199A"/>
    <w:rsid w:val="00596EDA"/>
    <w:rsid w:val="005B7CCE"/>
    <w:rsid w:val="00610541"/>
    <w:rsid w:val="00612772"/>
    <w:rsid w:val="00625CAF"/>
    <w:rsid w:val="00642E58"/>
    <w:rsid w:val="00715325"/>
    <w:rsid w:val="007661CC"/>
    <w:rsid w:val="00787970"/>
    <w:rsid w:val="0079650D"/>
    <w:rsid w:val="0087280A"/>
    <w:rsid w:val="009619C1"/>
    <w:rsid w:val="00A40127"/>
    <w:rsid w:val="00A55042"/>
    <w:rsid w:val="00A74194"/>
    <w:rsid w:val="00AC03C6"/>
    <w:rsid w:val="00B3222A"/>
    <w:rsid w:val="00B47562"/>
    <w:rsid w:val="00B83133"/>
    <w:rsid w:val="00BF3692"/>
    <w:rsid w:val="00C5557E"/>
    <w:rsid w:val="00C646CA"/>
    <w:rsid w:val="00D709E8"/>
    <w:rsid w:val="00D72C30"/>
    <w:rsid w:val="00DD1C5B"/>
    <w:rsid w:val="00E3007E"/>
    <w:rsid w:val="00F16500"/>
    <w:rsid w:val="00FC4200"/>
    <w:rsid w:val="00FD7875"/>
    <w:rsid w:val="24AF26DC"/>
    <w:rsid w:val="590A8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34C08"/>
  <w15:chartTrackingRefBased/>
  <w15:docId w15:val="{D73F85F7-0864-4DBB-9D49-AD54007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70"/>
  </w:style>
  <w:style w:type="paragraph" w:styleId="Footer">
    <w:name w:val="footer"/>
    <w:basedOn w:val="Normal"/>
    <w:link w:val="FooterChar"/>
    <w:uiPriority w:val="99"/>
    <w:unhideWhenUsed/>
    <w:rsid w:val="0078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70"/>
  </w:style>
  <w:style w:type="character" w:styleId="Hyperlink">
    <w:name w:val="Hyperlink"/>
    <w:basedOn w:val="DefaultParagraphFont"/>
    <w:uiPriority w:val="99"/>
    <w:unhideWhenUsed/>
    <w:rsid w:val="000A4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FF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FF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7B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61CC"/>
    <w:pPr>
      <w:ind w:left="720"/>
      <w:contextualSpacing/>
    </w:pPr>
  </w:style>
  <w:style w:type="paragraph" w:customStyle="1" w:styleId="paragraph">
    <w:name w:val="paragraph"/>
    <w:basedOn w:val="Normal"/>
    <w:rsid w:val="0061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0541"/>
  </w:style>
  <w:style w:type="character" w:customStyle="1" w:styleId="eop">
    <w:name w:val="eop"/>
    <w:basedOn w:val="DefaultParagraphFont"/>
    <w:rsid w:val="006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524650-eb8d-43b5-8879-536f504406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FD0B25BBE4D4A86CDD186D38B55BB" ma:contentTypeVersion="15" ma:contentTypeDescription="Create a new document." ma:contentTypeScope="" ma:versionID="bee646dbb9178b858291ad04c14f80d2">
  <xsd:schema xmlns:xsd="http://www.w3.org/2001/XMLSchema" xmlns:xs="http://www.w3.org/2001/XMLSchema" xmlns:p="http://schemas.microsoft.com/office/2006/metadata/properties" xmlns:ns3="c7524650-eb8d-43b5-8879-536f50440669" xmlns:ns4="7e5be03f-9e15-4d2c-a2a0-bd02bebca8b6" targetNamespace="http://schemas.microsoft.com/office/2006/metadata/properties" ma:root="true" ma:fieldsID="75f0bdd87f0a1e65c88717c6b95355e5" ns3:_="" ns4:_="">
    <xsd:import namespace="c7524650-eb8d-43b5-8879-536f50440669"/>
    <xsd:import namespace="7e5be03f-9e15-4d2c-a2a0-bd02bebca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24650-eb8d-43b5-8879-536f50440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e03f-9e15-4d2c-a2a0-bd02bebca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846F4-790C-46B9-8504-2EEFFD86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17961-8A30-4040-A6AD-06C6812F1540}">
  <ds:schemaRefs>
    <ds:schemaRef ds:uri="http://schemas.microsoft.com/office/2006/metadata/properties"/>
    <ds:schemaRef ds:uri="http://schemas.microsoft.com/office/infopath/2007/PartnerControls"/>
    <ds:schemaRef ds:uri="c7524650-eb8d-43b5-8879-536f50440669"/>
  </ds:schemaRefs>
</ds:datastoreItem>
</file>

<file path=customXml/itemProps3.xml><?xml version="1.0" encoding="utf-8"?>
<ds:datastoreItem xmlns:ds="http://schemas.openxmlformats.org/officeDocument/2006/customXml" ds:itemID="{E35B0375-74AA-4EEB-91A1-6A3B8CB8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24650-eb8d-43b5-8879-536f50440669"/>
    <ds:schemaRef ds:uri="7e5be03f-9e15-4d2c-a2a0-bd02bebca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Bay, Maggie</dc:creator>
  <cp:keywords/>
  <dc:description/>
  <cp:lastModifiedBy>McEnroe, Kristen</cp:lastModifiedBy>
  <cp:revision>12</cp:revision>
  <dcterms:created xsi:type="dcterms:W3CDTF">2025-03-05T21:05:00Z</dcterms:created>
  <dcterms:modified xsi:type="dcterms:W3CDTF">2025-03-13T10:19:00Z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0x0101004F5FD0B25BBE4D4A86CDD186D38B55BB</vt:lpwstr>
  </property>
  <property fmtid="{D5CDD505-2E9C-101B-9397-08002B2CF9AE}" pid="3" name="MediaServiceImageTags">
    <vt:lpwstr/>
  </property>
</Properties>
</file>