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510"/>
        <w:gridCol w:w="7110"/>
      </w:tblGrid>
      <w:tr w:rsidR="00134A4E" w14:paraId="5FBF35AF" w14:textId="77777777" w:rsidTr="00B75260">
        <w:tc>
          <w:tcPr>
            <w:tcW w:w="3510" w:type="dxa"/>
          </w:tcPr>
          <w:p w14:paraId="38631A78" w14:textId="77777777" w:rsidR="00134A4E" w:rsidRPr="00C646CA" w:rsidRDefault="00134A4E" w:rsidP="00B75260">
            <w:pPr>
              <w:ind w:left="70" w:right="-720"/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SEMESTER(S) OFFERED</w:t>
            </w:r>
          </w:p>
        </w:tc>
        <w:tc>
          <w:tcPr>
            <w:tcW w:w="7110" w:type="dxa"/>
          </w:tcPr>
          <w:p w14:paraId="4CFB4CD4" w14:textId="7841AFAB" w:rsidR="00134A4E" w:rsidRPr="00134A4E" w:rsidRDefault="00134A4E" w:rsidP="00B75260">
            <w:pPr>
              <w:ind w:left="70" w:right="-720"/>
              <w:contextualSpacing/>
            </w:pPr>
            <w:r w:rsidRPr="00134A4E">
              <w:t>Fall or Spring</w:t>
            </w:r>
          </w:p>
        </w:tc>
      </w:tr>
      <w:tr w:rsidR="00134A4E" w14:paraId="43A76C08" w14:textId="77777777" w:rsidTr="00B75260">
        <w:tc>
          <w:tcPr>
            <w:tcW w:w="3510" w:type="dxa"/>
          </w:tcPr>
          <w:p w14:paraId="28D7E75E" w14:textId="0FEC2917" w:rsidR="00134A4E" w:rsidRPr="00C646CA" w:rsidRDefault="00134A4E" w:rsidP="00B75260">
            <w:pPr>
              <w:ind w:left="70" w:right="-720"/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COURSE COMPONENT</w:t>
            </w:r>
          </w:p>
        </w:tc>
        <w:tc>
          <w:tcPr>
            <w:tcW w:w="7110" w:type="dxa"/>
          </w:tcPr>
          <w:p w14:paraId="7DD3DBE2" w14:textId="0FFCC692" w:rsidR="00134A4E" w:rsidRPr="00134A4E" w:rsidRDefault="00134A4E" w:rsidP="00B75260">
            <w:pPr>
              <w:ind w:left="70" w:right="-720"/>
              <w:contextualSpacing/>
            </w:pPr>
            <w:r w:rsidRPr="00134A4E">
              <w:t>Tax Litigation Clinical Seminar</w:t>
            </w:r>
          </w:p>
        </w:tc>
      </w:tr>
      <w:tr w:rsidR="00134A4E" w14:paraId="599CCE75" w14:textId="77777777" w:rsidTr="00B75260">
        <w:tc>
          <w:tcPr>
            <w:tcW w:w="3510" w:type="dxa"/>
          </w:tcPr>
          <w:p w14:paraId="08E83D5C" w14:textId="77777777" w:rsidR="00134A4E" w:rsidRPr="00C646CA" w:rsidRDefault="00134A4E" w:rsidP="00B75260">
            <w:pPr>
              <w:ind w:left="70" w:right="-720"/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COURSE CREDITS</w:t>
            </w:r>
          </w:p>
        </w:tc>
        <w:tc>
          <w:tcPr>
            <w:tcW w:w="7110" w:type="dxa"/>
          </w:tcPr>
          <w:p w14:paraId="5086ACB7" w14:textId="168E676E" w:rsidR="00134A4E" w:rsidRPr="00134A4E" w:rsidRDefault="00134A4E" w:rsidP="00B75260">
            <w:pPr>
              <w:ind w:left="70" w:right="-720"/>
              <w:contextualSpacing/>
            </w:pPr>
            <w:r w:rsidRPr="00134A4E">
              <w:t>2 classroom credits</w:t>
            </w:r>
          </w:p>
        </w:tc>
      </w:tr>
      <w:tr w:rsidR="00134A4E" w14:paraId="25EDD820" w14:textId="77777777" w:rsidTr="00B75260">
        <w:tc>
          <w:tcPr>
            <w:tcW w:w="3510" w:type="dxa"/>
          </w:tcPr>
          <w:p w14:paraId="6FA94082" w14:textId="77777777" w:rsidR="00134A4E" w:rsidRPr="00C646CA" w:rsidRDefault="00134A4E" w:rsidP="00B75260">
            <w:pPr>
              <w:ind w:left="70" w:right="-720"/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CREDIT</w:t>
            </w:r>
            <w:r>
              <w:rPr>
                <w:b/>
                <w:bCs/>
              </w:rPr>
              <w:t>S</w:t>
            </w:r>
          </w:p>
        </w:tc>
        <w:tc>
          <w:tcPr>
            <w:tcW w:w="7110" w:type="dxa"/>
          </w:tcPr>
          <w:p w14:paraId="4B1CAB8B" w14:textId="3E0BE51D" w:rsidR="00134A4E" w:rsidRPr="00134A4E" w:rsidRDefault="00134A4E" w:rsidP="00B75260">
            <w:pPr>
              <w:ind w:left="70" w:right="-720"/>
              <w:contextualSpacing/>
            </w:pPr>
            <w:r w:rsidRPr="00134A4E">
              <w:t>3, 4 or 5 clinical credits</w:t>
            </w:r>
          </w:p>
        </w:tc>
      </w:tr>
      <w:tr w:rsidR="00134A4E" w14:paraId="7D0C8B7A" w14:textId="77777777" w:rsidTr="00B75260">
        <w:tc>
          <w:tcPr>
            <w:tcW w:w="3510" w:type="dxa"/>
          </w:tcPr>
          <w:p w14:paraId="30891B4B" w14:textId="77777777" w:rsidR="00134A4E" w:rsidRPr="00C646CA" w:rsidRDefault="00134A4E" w:rsidP="00B75260">
            <w:pPr>
              <w:ind w:left="70" w:right="-7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110" w:type="dxa"/>
          </w:tcPr>
          <w:p w14:paraId="16E8D3A8" w14:textId="518A8595" w:rsidR="00134A4E" w:rsidRPr="00134A4E" w:rsidRDefault="00134A4E" w:rsidP="00B75260">
            <w:pPr>
              <w:ind w:left="70" w:right="-720"/>
              <w:contextualSpacing/>
            </w:pPr>
            <w:r w:rsidRPr="00134A4E">
              <w:t>HLS; Legal Services Center</w:t>
            </w:r>
          </w:p>
        </w:tc>
      </w:tr>
      <w:tr w:rsidR="00134A4E" w14:paraId="083EEBC3" w14:textId="77777777" w:rsidTr="00B75260">
        <w:tc>
          <w:tcPr>
            <w:tcW w:w="3510" w:type="dxa"/>
          </w:tcPr>
          <w:p w14:paraId="654FB10B" w14:textId="77777777" w:rsidR="00134A4E" w:rsidRPr="00C646CA" w:rsidRDefault="00134A4E" w:rsidP="00B75260">
            <w:pPr>
              <w:ind w:left="70" w:right="-720"/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REGISTRATION TYPE</w:t>
            </w:r>
          </w:p>
        </w:tc>
        <w:tc>
          <w:tcPr>
            <w:tcW w:w="7110" w:type="dxa"/>
          </w:tcPr>
          <w:p w14:paraId="3D47D83A" w14:textId="7E514CBF" w:rsidR="00134A4E" w:rsidRDefault="00134A4E" w:rsidP="00B75260">
            <w:pPr>
              <w:ind w:left="70" w:right="-720"/>
              <w:contextualSpacing/>
              <w:rPr>
                <w:b/>
              </w:rPr>
            </w:pPr>
            <w:r>
              <w:t>Helios</w:t>
            </w:r>
          </w:p>
        </w:tc>
      </w:tr>
    </w:tbl>
    <w:p w14:paraId="667F300C" w14:textId="77777777" w:rsidR="00134A4E" w:rsidRDefault="00134A4E" w:rsidP="00B75260">
      <w:pPr>
        <w:spacing w:after="0" w:line="240" w:lineRule="auto"/>
        <w:ind w:left="-720" w:right="-720"/>
        <w:contextualSpacing/>
        <w:rPr>
          <w:b/>
        </w:rPr>
      </w:pPr>
    </w:p>
    <w:p w14:paraId="2DCFB087" w14:textId="7ED17825" w:rsidR="00180F6B" w:rsidRPr="00134A4E" w:rsidRDefault="001A58CD" w:rsidP="00B75260">
      <w:pPr>
        <w:spacing w:after="0" w:line="240" w:lineRule="auto"/>
        <w:ind w:left="-630" w:right="-720"/>
        <w:contextualSpacing/>
        <w:rPr>
          <w:b/>
        </w:rPr>
      </w:pPr>
      <w:r w:rsidRPr="00787970">
        <w:rPr>
          <w:b/>
        </w:rPr>
        <w:t>TYPES OF CASES/CLIENTS</w:t>
      </w:r>
    </w:p>
    <w:p w14:paraId="175E9F57" w14:textId="1C4A2FC0" w:rsidR="00A865CD" w:rsidRDefault="00134A4E" w:rsidP="00B75260">
      <w:pPr>
        <w:spacing w:after="0" w:line="240" w:lineRule="auto"/>
        <w:ind w:left="-630" w:right="-720"/>
        <w:contextualSpacing/>
      </w:pPr>
      <w:r>
        <w:t>The clinic is</w:t>
      </w:r>
      <w:r w:rsidR="00A865CD">
        <w:t xml:space="preserve"> designated by the IRS as a Low Income Taxpayer Clinic (LITC), and represent people in tax cases and controversies.  We are not a tax preparation clinic. Most of our clients are below 250% of the poverty line and many are referred by other </w:t>
      </w:r>
      <w:r w:rsidR="00180F6B">
        <w:t xml:space="preserve">local and national </w:t>
      </w:r>
      <w:r w:rsidR="00A865CD">
        <w:t xml:space="preserve">service providers, including domestic violence organizations, veteran’s organizations, and other legal services offices. </w:t>
      </w:r>
    </w:p>
    <w:p w14:paraId="339D59FE" w14:textId="36923FB6" w:rsidR="00A865CD" w:rsidRDefault="00A865CD" w:rsidP="00B75260">
      <w:pPr>
        <w:spacing w:after="0" w:line="240" w:lineRule="auto"/>
        <w:ind w:left="-630" w:right="-720"/>
        <w:contextualSpacing/>
      </w:pPr>
    </w:p>
    <w:p w14:paraId="23A30C2D" w14:textId="2AC01D03" w:rsidR="00A865CD" w:rsidRDefault="00A865CD" w:rsidP="00B75260">
      <w:pPr>
        <w:spacing w:after="0" w:line="240" w:lineRule="auto"/>
        <w:ind w:left="-630" w:right="-720"/>
        <w:contextualSpacing/>
      </w:pPr>
      <w:r>
        <w:t>Many of our cases involve agency litigation directly with the IRS</w:t>
      </w:r>
      <w:r w:rsidR="00C74F1B">
        <w:t xml:space="preserve"> and Massachusetts Department of Revenue</w:t>
      </w:r>
      <w:r>
        <w:t xml:space="preserve">, where </w:t>
      </w:r>
      <w:r w:rsidR="00180F6B">
        <w:t>use</w:t>
      </w:r>
      <w:r>
        <w:t xml:space="preserve"> various administrative processes to challenge a person’s underlying tax liability or to work out viable payment plans and settlement agreements for people who cannot pay their tax liabilities.  A certain percentage of our cases are also litigated in the United States Tax Court</w:t>
      </w:r>
      <w:r w:rsidR="00C74F1B">
        <w:t xml:space="preserve">.  We also take on United States District Court and Circuit Court cases when the opportunity arises to engage in impact litigation that may broadly help low and moderate income clients. </w:t>
      </w:r>
      <w:r>
        <w:t xml:space="preserve"> </w:t>
      </w:r>
    </w:p>
    <w:p w14:paraId="58664A6A" w14:textId="77777777" w:rsidR="00F16500" w:rsidRDefault="00F16500" w:rsidP="00B75260">
      <w:pPr>
        <w:spacing w:after="0" w:line="240" w:lineRule="auto"/>
        <w:ind w:left="-630" w:right="-720"/>
        <w:contextualSpacing/>
      </w:pPr>
    </w:p>
    <w:p w14:paraId="53F62EC4" w14:textId="4C18E114" w:rsidR="005B7CCE" w:rsidRPr="00134A4E" w:rsidRDefault="001A58CD" w:rsidP="00B75260">
      <w:pPr>
        <w:spacing w:after="0" w:line="240" w:lineRule="auto"/>
        <w:ind w:left="-630" w:right="-720"/>
        <w:contextualSpacing/>
        <w:rPr>
          <w:b/>
        </w:rPr>
      </w:pPr>
      <w:r w:rsidRPr="00787970">
        <w:rPr>
          <w:b/>
        </w:rPr>
        <w:t>SKILLS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420"/>
        <w:gridCol w:w="4050"/>
        <w:gridCol w:w="3060"/>
      </w:tblGrid>
      <w:tr w:rsidR="005B7CCE" w14:paraId="7AF32674" w14:textId="77777777" w:rsidTr="00B75260">
        <w:tc>
          <w:tcPr>
            <w:tcW w:w="3420" w:type="dxa"/>
          </w:tcPr>
          <w:p w14:paraId="443E3D1E" w14:textId="1D7F7DBC" w:rsidR="005B7CCE" w:rsidRDefault="005B7CCE" w:rsidP="00B75260">
            <w:pPr>
              <w:ind w:left="70" w:right="-720"/>
              <w:contextualSpacing/>
            </w:pPr>
            <w:r>
              <w:t>Brief writing</w:t>
            </w:r>
          </w:p>
        </w:tc>
        <w:tc>
          <w:tcPr>
            <w:tcW w:w="4050" w:type="dxa"/>
          </w:tcPr>
          <w:p w14:paraId="22BB8509" w14:textId="242912DF" w:rsidR="005B7CCE" w:rsidRDefault="005B7CCE" w:rsidP="00B75260">
            <w:pPr>
              <w:ind w:left="70" w:right="-720"/>
              <w:contextualSpacing/>
            </w:pPr>
            <w:r>
              <w:t>Appellate litigation</w:t>
            </w:r>
          </w:p>
        </w:tc>
        <w:tc>
          <w:tcPr>
            <w:tcW w:w="3060" w:type="dxa"/>
          </w:tcPr>
          <w:p w14:paraId="0EEB7BA5" w14:textId="2CEE0BAD" w:rsidR="005B7CCE" w:rsidRDefault="005B7CCE" w:rsidP="00B75260">
            <w:pPr>
              <w:ind w:left="70" w:right="-720"/>
              <w:contextualSpacing/>
            </w:pPr>
            <w:r>
              <w:t>Interviewing clients</w:t>
            </w:r>
          </w:p>
        </w:tc>
      </w:tr>
      <w:tr w:rsidR="005B7CCE" w14:paraId="185B0AE2" w14:textId="77777777" w:rsidTr="00B75260">
        <w:tc>
          <w:tcPr>
            <w:tcW w:w="3420" w:type="dxa"/>
          </w:tcPr>
          <w:p w14:paraId="144E4A80" w14:textId="6501ADD4" w:rsidR="005B7CCE" w:rsidRDefault="005B7CCE" w:rsidP="00B75260">
            <w:pPr>
              <w:ind w:left="70" w:right="-720"/>
              <w:contextualSpacing/>
            </w:pPr>
            <w:r>
              <w:t>Legal research and writing</w:t>
            </w:r>
          </w:p>
        </w:tc>
        <w:tc>
          <w:tcPr>
            <w:tcW w:w="4050" w:type="dxa"/>
          </w:tcPr>
          <w:p w14:paraId="1A8CDD87" w14:textId="23F92FDA" w:rsidR="005B7CCE" w:rsidRDefault="005B7CCE" w:rsidP="00B75260">
            <w:pPr>
              <w:ind w:left="70" w:right="-720"/>
              <w:contextualSpacing/>
            </w:pPr>
            <w:r>
              <w:t>Collaboration with partner organizations</w:t>
            </w:r>
          </w:p>
        </w:tc>
        <w:tc>
          <w:tcPr>
            <w:tcW w:w="3060" w:type="dxa"/>
          </w:tcPr>
          <w:p w14:paraId="291B5365" w14:textId="0C682B37" w:rsidR="005B7CCE" w:rsidRDefault="00B75260" w:rsidP="00B75260">
            <w:pPr>
              <w:ind w:left="70" w:right="-720"/>
              <w:contextualSpacing/>
            </w:pPr>
            <w:r>
              <w:t>Preparing comments</w:t>
            </w:r>
          </w:p>
        </w:tc>
      </w:tr>
      <w:tr w:rsidR="00B75260" w14:paraId="6AC8A7CA" w14:textId="77777777" w:rsidTr="00B75260">
        <w:tc>
          <w:tcPr>
            <w:tcW w:w="3420" w:type="dxa"/>
          </w:tcPr>
          <w:p w14:paraId="1E534055" w14:textId="05E17F2A" w:rsidR="00B75260" w:rsidRDefault="00B75260" w:rsidP="00B75260">
            <w:pPr>
              <w:ind w:left="70" w:right="-720"/>
              <w:contextualSpacing/>
            </w:pPr>
            <w:r>
              <w:t>Strategizing cases</w:t>
            </w:r>
          </w:p>
        </w:tc>
        <w:tc>
          <w:tcPr>
            <w:tcW w:w="4050" w:type="dxa"/>
          </w:tcPr>
          <w:p w14:paraId="7AD7BDD7" w14:textId="635C1153" w:rsidR="00B75260" w:rsidRDefault="00B75260" w:rsidP="00B75260">
            <w:pPr>
              <w:ind w:left="70" w:right="-720"/>
              <w:contextualSpacing/>
            </w:pPr>
            <w:r>
              <w:t>Drafting reports and policy papers</w:t>
            </w:r>
          </w:p>
        </w:tc>
        <w:tc>
          <w:tcPr>
            <w:tcW w:w="3060" w:type="dxa"/>
          </w:tcPr>
          <w:p w14:paraId="419ACD74" w14:textId="3A311B69" w:rsidR="00B75260" w:rsidRDefault="00B75260" w:rsidP="00B75260">
            <w:pPr>
              <w:ind w:left="70" w:right="-720"/>
              <w:contextualSpacing/>
            </w:pPr>
            <w:r>
              <w:t>Oral presentations</w:t>
            </w:r>
          </w:p>
        </w:tc>
      </w:tr>
      <w:tr w:rsidR="005B7CCE" w14:paraId="395ED5C0" w14:textId="77777777" w:rsidTr="00B75260">
        <w:tc>
          <w:tcPr>
            <w:tcW w:w="3420" w:type="dxa"/>
          </w:tcPr>
          <w:p w14:paraId="01D9CF9C" w14:textId="6C54D2C7" w:rsidR="005B7CCE" w:rsidRDefault="005B7CCE" w:rsidP="00B75260">
            <w:pPr>
              <w:ind w:left="70" w:right="-720"/>
              <w:contextualSpacing/>
            </w:pPr>
            <w:r>
              <w:t>Policy and advocacy work</w:t>
            </w:r>
          </w:p>
        </w:tc>
        <w:tc>
          <w:tcPr>
            <w:tcW w:w="4050" w:type="dxa"/>
          </w:tcPr>
          <w:p w14:paraId="1BFE35FE" w14:textId="1ABFBB9C" w:rsidR="005B7CCE" w:rsidRDefault="005B7CCE" w:rsidP="00B75260">
            <w:pPr>
              <w:ind w:left="70" w:right="-720"/>
              <w:contextualSpacing/>
            </w:pPr>
            <w:r>
              <w:t>Trial preparation</w:t>
            </w:r>
          </w:p>
        </w:tc>
        <w:tc>
          <w:tcPr>
            <w:tcW w:w="3060" w:type="dxa"/>
          </w:tcPr>
          <w:p w14:paraId="026A0C19" w14:textId="7DF562F9" w:rsidR="005B7CCE" w:rsidRDefault="005B7CCE" w:rsidP="00B75260">
            <w:pPr>
              <w:ind w:left="70" w:right="-720"/>
              <w:contextualSpacing/>
            </w:pPr>
            <w:r>
              <w:t>Administrative hearings</w:t>
            </w:r>
          </w:p>
        </w:tc>
      </w:tr>
      <w:tr w:rsidR="005B7CCE" w14:paraId="77785507" w14:textId="77777777" w:rsidTr="00B75260">
        <w:tc>
          <w:tcPr>
            <w:tcW w:w="3420" w:type="dxa"/>
          </w:tcPr>
          <w:p w14:paraId="57F83A4D" w14:textId="0A687974" w:rsidR="005B7CCE" w:rsidRDefault="005B7CCE" w:rsidP="00B75260">
            <w:pPr>
              <w:ind w:left="70" w:right="-720"/>
              <w:contextualSpacing/>
            </w:pPr>
            <w:r>
              <w:t>Working with experts</w:t>
            </w:r>
          </w:p>
        </w:tc>
        <w:tc>
          <w:tcPr>
            <w:tcW w:w="4050" w:type="dxa"/>
          </w:tcPr>
          <w:p w14:paraId="68E178A8" w14:textId="11E2CAFF" w:rsidR="005B7CCE" w:rsidRDefault="005B7CCE" w:rsidP="00B75260">
            <w:pPr>
              <w:ind w:left="70" w:right="-720"/>
              <w:contextualSpacing/>
            </w:pPr>
            <w:r>
              <w:t>Fact investigation</w:t>
            </w:r>
          </w:p>
        </w:tc>
        <w:tc>
          <w:tcPr>
            <w:tcW w:w="3060" w:type="dxa"/>
          </w:tcPr>
          <w:p w14:paraId="2CDEB952" w14:textId="4C613924" w:rsidR="005B7CCE" w:rsidRDefault="005B7CCE" w:rsidP="00B75260">
            <w:pPr>
              <w:ind w:left="70" w:right="-720"/>
              <w:contextualSpacing/>
            </w:pPr>
            <w:r>
              <w:t>Community Education</w:t>
            </w:r>
          </w:p>
        </w:tc>
      </w:tr>
    </w:tbl>
    <w:p w14:paraId="789D8280" w14:textId="047E499A" w:rsidR="001A58CD" w:rsidRDefault="001A58CD" w:rsidP="00B75260">
      <w:pPr>
        <w:spacing w:after="0" w:line="240" w:lineRule="auto"/>
        <w:ind w:left="-630" w:right="-720"/>
        <w:contextualSpacing/>
      </w:pPr>
    </w:p>
    <w:p w14:paraId="7BDA3F88" w14:textId="498D7FB5" w:rsidR="001A58CD" w:rsidRPr="00787970" w:rsidRDefault="001A58CD" w:rsidP="00B75260">
      <w:pPr>
        <w:spacing w:after="0" w:line="240" w:lineRule="auto"/>
        <w:ind w:left="-630" w:right="-720"/>
        <w:contextualSpacing/>
        <w:rPr>
          <w:b/>
        </w:rPr>
      </w:pPr>
      <w:r w:rsidRPr="00787970">
        <w:rPr>
          <w:b/>
        </w:rPr>
        <w:t>TYPICAL WORK SCHEDULE</w:t>
      </w:r>
    </w:p>
    <w:p w14:paraId="60FF8F01" w14:textId="717F9B6C" w:rsidR="00C74F1B" w:rsidRPr="00134A4E" w:rsidRDefault="00C74F1B" w:rsidP="00B75260">
      <w:pPr>
        <w:spacing w:after="0" w:line="240" w:lineRule="auto"/>
        <w:ind w:left="-630" w:right="-720"/>
        <w:contextualSpacing/>
        <w:rPr>
          <w:bCs/>
        </w:rPr>
      </w:pPr>
      <w:r w:rsidRPr="00134A4E">
        <w:rPr>
          <w:bCs/>
        </w:rPr>
        <w:t>Please note: Many clinical students choose to have 3-4 time periods scheduled throughout the week</w:t>
      </w:r>
    </w:p>
    <w:p w14:paraId="54691759" w14:textId="14A7C338" w:rsidR="001A58CD" w:rsidRDefault="001A58CD" w:rsidP="00B75260">
      <w:pPr>
        <w:spacing w:after="0" w:line="240" w:lineRule="auto"/>
        <w:ind w:left="-630" w:right="-720"/>
        <w:contextualSpacing/>
      </w:pPr>
    </w:p>
    <w:tbl>
      <w:tblPr>
        <w:tblStyle w:val="TableGrid"/>
        <w:tblW w:w="8362" w:type="dxa"/>
        <w:jc w:val="center"/>
        <w:tblLayout w:type="fixed"/>
        <w:tblLook w:val="0600" w:firstRow="0" w:lastRow="0" w:firstColumn="0" w:lastColumn="0" w:noHBand="1" w:noVBand="1"/>
      </w:tblPr>
      <w:tblGrid>
        <w:gridCol w:w="2782"/>
        <w:gridCol w:w="2970"/>
        <w:gridCol w:w="2610"/>
      </w:tblGrid>
      <w:tr w:rsidR="590A8C28" w14:paraId="513F7B29" w14:textId="77777777" w:rsidTr="00B75260">
        <w:trPr>
          <w:trHeight w:val="327"/>
          <w:jc w:val="center"/>
        </w:trPr>
        <w:tc>
          <w:tcPr>
            <w:tcW w:w="27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9290095" w14:textId="6ECCBF5E" w:rsidR="590A8C28" w:rsidRPr="00715325" w:rsidRDefault="590A8C28" w:rsidP="00B75260">
            <w:pPr>
              <w:ind w:left="-630" w:right="-72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Morning</w:t>
            </w:r>
          </w:p>
        </w:tc>
        <w:tc>
          <w:tcPr>
            <w:tcW w:w="29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E966B73" w14:textId="728790A4" w:rsidR="590A8C28" w:rsidRPr="00715325" w:rsidRDefault="590A8C28" w:rsidP="00B75260">
            <w:pPr>
              <w:ind w:left="-630" w:right="-72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Afternoon</w:t>
            </w:r>
          </w:p>
        </w:tc>
        <w:tc>
          <w:tcPr>
            <w:tcW w:w="2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88E08A5" w14:textId="275AC107" w:rsidR="590A8C28" w:rsidRPr="00715325" w:rsidRDefault="590A8C28" w:rsidP="00B75260">
            <w:pPr>
              <w:ind w:left="-630" w:right="-72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Evening</w:t>
            </w:r>
          </w:p>
        </w:tc>
      </w:tr>
      <w:tr w:rsidR="590A8C28" w14:paraId="4687EEE9" w14:textId="77777777" w:rsidTr="00B75260">
        <w:trPr>
          <w:trHeight w:val="3072"/>
          <w:jc w:val="center"/>
        </w:trPr>
        <w:tc>
          <w:tcPr>
            <w:tcW w:w="27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39D8ADB" w14:textId="134D6C3A" w:rsidR="590A8C28" w:rsidRDefault="00C74F1B" w:rsidP="00B75260">
            <w:pPr>
              <w:ind w:left="-30" w:right="-110"/>
              <w:rPr>
                <w:rFonts w:eastAsia="Raleway" w:cs="Raleway"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9:30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- 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10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:15 am:</w:t>
            </w:r>
            <w:r w:rsidR="590A8C28" w:rsidRPr="00715325">
              <w:rPr>
                <w:rFonts w:eastAsia="Raleway" w:cs="Raleway"/>
                <w:color w:val="000000" w:themeColor="text1"/>
                <w:sz w:val="20"/>
              </w:rPr>
              <w:t xml:space="preserve"> Take red line/orange line to LSC</w:t>
            </w:r>
          </w:p>
          <w:p w14:paraId="1C3D9AA1" w14:textId="77777777" w:rsidR="00C74F1B" w:rsidRPr="00715325" w:rsidRDefault="00C74F1B" w:rsidP="00B75260">
            <w:pPr>
              <w:ind w:left="-30" w:right="-110"/>
              <w:rPr>
                <w:sz w:val="20"/>
              </w:rPr>
            </w:pPr>
          </w:p>
          <w:p w14:paraId="68DB012F" w14:textId="058B7B13" w:rsidR="590A8C28" w:rsidRDefault="590A8C28" w:rsidP="00B75260">
            <w:pPr>
              <w:ind w:left="-30" w:right="-110"/>
              <w:rPr>
                <w:rFonts w:eastAsia="Raleway" w:cs="Raleway"/>
                <w:color w:val="000000" w:themeColor="text1"/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10:</w:t>
            </w:r>
            <w:r w:rsidR="00C74F1B">
              <w:rPr>
                <w:rFonts w:eastAsia="Raleway" w:cs="Raleway"/>
                <w:b/>
                <w:bCs/>
                <w:color w:val="000000" w:themeColor="text1"/>
                <w:sz w:val="20"/>
              </w:rPr>
              <w:t>30-12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</w:t>
            </w:r>
            <w:r w:rsidR="00C74F1B">
              <w:rPr>
                <w:rFonts w:eastAsia="Raleway" w:cs="Raleway"/>
                <w:b/>
                <w:bCs/>
                <w:color w:val="000000" w:themeColor="text1"/>
                <w:sz w:val="20"/>
              </w:rPr>
              <w:t>p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m: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="00C74F1B">
              <w:rPr>
                <w:rFonts w:eastAsia="Raleway" w:cs="Raleway"/>
                <w:color w:val="000000" w:themeColor="text1"/>
                <w:sz w:val="20"/>
              </w:rPr>
              <w:t>Meet with clients by phone, in person, or virtually. Respond to emails.</w:t>
            </w:r>
          </w:p>
          <w:p w14:paraId="097C0E1D" w14:textId="77362D52" w:rsidR="00C74F1B" w:rsidRDefault="00C74F1B" w:rsidP="00B75260">
            <w:pPr>
              <w:ind w:left="-30" w:right="-720"/>
              <w:rPr>
                <w:rFonts w:eastAsia="Raleway" w:cs="Raleway"/>
                <w:color w:val="000000" w:themeColor="text1"/>
                <w:sz w:val="20"/>
              </w:rPr>
            </w:pPr>
          </w:p>
          <w:p w14:paraId="7475AB3B" w14:textId="77777777" w:rsidR="00C74F1B" w:rsidRPr="00715325" w:rsidRDefault="00C74F1B" w:rsidP="00B75260">
            <w:pPr>
              <w:ind w:left="-30" w:right="-720"/>
              <w:rPr>
                <w:sz w:val="20"/>
              </w:rPr>
            </w:pPr>
          </w:p>
          <w:p w14:paraId="7FE050C7" w14:textId="6136EDCB" w:rsidR="590A8C28" w:rsidRPr="00715325" w:rsidRDefault="590A8C28" w:rsidP="00B75260">
            <w:pPr>
              <w:ind w:left="-30" w:right="-720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6615BB7C" w14:textId="0BCF230E" w:rsidR="590A8C28" w:rsidRDefault="590A8C28" w:rsidP="00B75260">
            <w:pPr>
              <w:ind w:left="-30" w:right="-2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1:15 - 2:30 pm: </w:t>
            </w:r>
            <w:r w:rsidR="00C74F1B">
              <w:rPr>
                <w:rFonts w:eastAsia="Raleway" w:cs="Raleway"/>
                <w:color w:val="000000" w:themeColor="text1"/>
                <w:sz w:val="20"/>
                <w:szCs w:val="20"/>
              </w:rPr>
              <w:t>Meet with clinical supervisor to discuss cases and strategies</w:t>
            </w:r>
          </w:p>
          <w:p w14:paraId="7E78496E" w14:textId="77777777" w:rsidR="00C74F1B" w:rsidRPr="00715325" w:rsidRDefault="00C74F1B" w:rsidP="00B75260">
            <w:pPr>
              <w:ind w:left="-30" w:right="-20"/>
              <w:rPr>
                <w:sz w:val="20"/>
              </w:rPr>
            </w:pPr>
          </w:p>
          <w:p w14:paraId="73E96925" w14:textId="541C303E" w:rsidR="590A8C28" w:rsidRDefault="590A8C28" w:rsidP="00B75260">
            <w:pPr>
              <w:ind w:left="-30" w:right="-2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2:30 - 3:</w:t>
            </w:r>
            <w:r w:rsidR="00C74F1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pm: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00C74F1B">
              <w:rPr>
                <w:rFonts w:eastAsia="Raleway" w:cs="Raleway"/>
                <w:color w:val="000000" w:themeColor="text1"/>
                <w:sz w:val="20"/>
                <w:szCs w:val="20"/>
              </w:rPr>
              <w:t>Review client affidavits and other documentary evidence</w:t>
            </w:r>
          </w:p>
          <w:p w14:paraId="390044DD" w14:textId="77777777" w:rsidR="00C74F1B" w:rsidRPr="00715325" w:rsidRDefault="00C74F1B" w:rsidP="00B75260">
            <w:pPr>
              <w:ind w:left="-30" w:right="-20"/>
              <w:rPr>
                <w:sz w:val="20"/>
              </w:rPr>
            </w:pPr>
          </w:p>
          <w:p w14:paraId="46324070" w14:textId="6E93557C" w:rsidR="590A8C28" w:rsidRPr="00715325" w:rsidRDefault="590A8C28" w:rsidP="00B75260">
            <w:pPr>
              <w:ind w:left="-30" w:right="-20"/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3:45 - 4:30 pm: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00C74F1B">
              <w:rPr>
                <w:rFonts w:eastAsia="Raleway" w:cs="Raleway"/>
                <w:color w:val="000000" w:themeColor="text1"/>
                <w:sz w:val="20"/>
                <w:szCs w:val="20"/>
              </w:rPr>
              <w:t>Draft an IRS or Tax Court petition. Send it in for supervisor review.</w:t>
            </w:r>
          </w:p>
        </w:tc>
        <w:tc>
          <w:tcPr>
            <w:tcW w:w="2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35DE607F" w14:textId="4FF79899" w:rsidR="590A8C28" w:rsidRPr="00C74F1B" w:rsidRDefault="590A8C28" w:rsidP="00B75260">
            <w:pPr>
              <w:ind w:left="-30" w:right="16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4:30 - 5:20 pm</w:t>
            </w:r>
            <w:r w:rsidR="00C74F1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C74F1B">
              <w:rPr>
                <w:rFonts w:eastAsia="Raleway" w:cs="Raleway"/>
                <w:color w:val="000000" w:themeColor="text1"/>
                <w:sz w:val="20"/>
                <w:szCs w:val="20"/>
              </w:rPr>
              <w:t>Review the days case work; ensure all files are updates with the days work</w:t>
            </w:r>
          </w:p>
          <w:p w14:paraId="27672F12" w14:textId="77777777" w:rsidR="00C74F1B" w:rsidRPr="00715325" w:rsidRDefault="00C74F1B" w:rsidP="00B75260">
            <w:pPr>
              <w:ind w:left="-30" w:right="160"/>
              <w:rPr>
                <w:sz w:val="20"/>
              </w:rPr>
            </w:pPr>
          </w:p>
          <w:p w14:paraId="750C442E" w14:textId="3C859603" w:rsidR="590A8C28" w:rsidRPr="00715325" w:rsidRDefault="590A8C28" w:rsidP="00B75260">
            <w:pPr>
              <w:ind w:left="-30" w:right="160"/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5:20 - 6:15 pm: 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Take the red line back to campus </w:t>
            </w:r>
          </w:p>
        </w:tc>
        <w:bookmarkStart w:id="0" w:name="_GoBack"/>
        <w:bookmarkEnd w:id="0"/>
      </w:tr>
    </w:tbl>
    <w:p w14:paraId="3E326209" w14:textId="511514CE" w:rsidR="00A74194" w:rsidRDefault="00A74194" w:rsidP="00B75260">
      <w:pPr>
        <w:spacing w:after="0" w:line="240" w:lineRule="auto"/>
        <w:ind w:left="-630" w:right="-720"/>
        <w:contextualSpacing/>
      </w:pPr>
    </w:p>
    <w:p w14:paraId="3F16A95A" w14:textId="68A5FAEC" w:rsidR="00F16500" w:rsidRDefault="00787970" w:rsidP="00B75260">
      <w:pPr>
        <w:spacing w:after="0" w:line="240" w:lineRule="auto"/>
        <w:ind w:left="-630" w:right="-720"/>
        <w:contextualSpacing/>
      </w:pPr>
      <w:r>
        <w:rPr>
          <w:i/>
        </w:rPr>
        <w:t xml:space="preserve"> </w:t>
      </w:r>
    </w:p>
    <w:sectPr w:rsidR="00F165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4E98" w14:textId="77777777" w:rsidR="00787970" w:rsidRDefault="00787970" w:rsidP="00787970">
      <w:pPr>
        <w:spacing w:after="0" w:line="240" w:lineRule="auto"/>
      </w:pPr>
      <w:r>
        <w:separator/>
      </w:r>
    </w:p>
  </w:endnote>
  <w:endnote w:type="continuationSeparator" w:id="0">
    <w:p w14:paraId="39CD6252" w14:textId="77777777" w:rsidR="00787970" w:rsidRDefault="00787970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MV Boli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0A8C28" w14:paraId="4DE56761" w14:textId="77777777" w:rsidTr="590A8C28">
      <w:trPr>
        <w:trHeight w:val="300"/>
      </w:trPr>
      <w:tc>
        <w:tcPr>
          <w:tcW w:w="3120" w:type="dxa"/>
        </w:tcPr>
        <w:p w14:paraId="1DBEB3F6" w14:textId="3E16444F" w:rsidR="590A8C28" w:rsidRDefault="590A8C28" w:rsidP="590A8C28">
          <w:pPr>
            <w:pStyle w:val="Header"/>
            <w:ind w:left="-115"/>
          </w:pPr>
        </w:p>
      </w:tc>
      <w:tc>
        <w:tcPr>
          <w:tcW w:w="3120" w:type="dxa"/>
        </w:tcPr>
        <w:p w14:paraId="53DF35E4" w14:textId="3E961CE3" w:rsidR="590A8C28" w:rsidRDefault="590A8C28" w:rsidP="590A8C28">
          <w:pPr>
            <w:pStyle w:val="Header"/>
            <w:jc w:val="center"/>
          </w:pPr>
        </w:p>
      </w:tc>
      <w:tc>
        <w:tcPr>
          <w:tcW w:w="3120" w:type="dxa"/>
        </w:tcPr>
        <w:p w14:paraId="241DB90A" w14:textId="1D835050" w:rsidR="590A8C28" w:rsidRDefault="590A8C28" w:rsidP="590A8C28">
          <w:pPr>
            <w:pStyle w:val="Header"/>
            <w:ind w:right="-115"/>
            <w:jc w:val="right"/>
          </w:pPr>
        </w:p>
      </w:tc>
    </w:tr>
  </w:tbl>
  <w:p w14:paraId="43834023" w14:textId="0F6B7708" w:rsidR="590A8C28" w:rsidRDefault="590A8C28" w:rsidP="590A8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0DBA5" w14:textId="77777777" w:rsidR="00787970" w:rsidRDefault="00787970" w:rsidP="00787970">
      <w:pPr>
        <w:spacing w:after="0" w:line="240" w:lineRule="auto"/>
      </w:pPr>
      <w:r>
        <w:separator/>
      </w:r>
    </w:p>
  </w:footnote>
  <w:footnote w:type="continuationSeparator" w:id="0">
    <w:p w14:paraId="210BEC04" w14:textId="77777777" w:rsidR="00787970" w:rsidRDefault="00787970" w:rsidP="0078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5DE1" w14:textId="0852D703" w:rsidR="590A8C28" w:rsidRDefault="00A865CD" w:rsidP="00134A4E">
    <w:pPr>
      <w:spacing w:after="0" w:line="240" w:lineRule="auto"/>
      <w:contextualSpacing/>
      <w:jc w:val="center"/>
    </w:pPr>
    <w:r>
      <w:t>TAX LITIGATION CLINIC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8"/>
    <w:rsid w:val="00134A4E"/>
    <w:rsid w:val="00180F6B"/>
    <w:rsid w:val="001A58CD"/>
    <w:rsid w:val="005B7CCE"/>
    <w:rsid w:val="00715325"/>
    <w:rsid w:val="00787970"/>
    <w:rsid w:val="0087280A"/>
    <w:rsid w:val="00A74194"/>
    <w:rsid w:val="00A865CD"/>
    <w:rsid w:val="00B75260"/>
    <w:rsid w:val="00C74F1B"/>
    <w:rsid w:val="00D709E8"/>
    <w:rsid w:val="00E3007E"/>
    <w:rsid w:val="00E4441C"/>
    <w:rsid w:val="00F16500"/>
    <w:rsid w:val="00FC4200"/>
    <w:rsid w:val="24AF26DC"/>
    <w:rsid w:val="590A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4C08"/>
  <w15:chartTrackingRefBased/>
  <w15:docId w15:val="{D73F85F7-0864-4DBB-9D49-AD54007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17961-8A30-4040-A6AD-06C6812F154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503695ed-f6de-4767-af52-1df65692426b"/>
    <ds:schemaRef ds:uri="http://schemas.openxmlformats.org/package/2006/metadata/core-properties"/>
    <ds:schemaRef ds:uri="c3703092-74e5-4148-9481-13c6876a4c48"/>
  </ds:schemaRefs>
</ds:datastoreItem>
</file>

<file path=customXml/itemProps2.xml><?xml version="1.0" encoding="utf-8"?>
<ds:datastoreItem xmlns:ds="http://schemas.openxmlformats.org/officeDocument/2006/customXml" ds:itemID="{CC8846F4-790C-46B9-8504-2EEFFD866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A4617-8E7A-4D99-90FA-F1BCD7C16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695ed-f6de-4767-af52-1df65692426b"/>
    <ds:schemaRef ds:uri="c3703092-74e5-4148-9481-13c6876a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3</cp:revision>
  <dcterms:created xsi:type="dcterms:W3CDTF">2023-03-15T19:32:00Z</dcterms:created>
  <dcterms:modified xsi:type="dcterms:W3CDTF">2023-03-17T15:09:00Z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