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ECB0A" w14:textId="77777777" w:rsidR="00477093" w:rsidRPr="00477093" w:rsidRDefault="00477093" w:rsidP="00F16500">
      <w:pPr>
        <w:spacing w:after="0" w:line="240" w:lineRule="auto"/>
        <w:contextualSpacing/>
        <w:rPr>
          <w:rFonts w:cstheme="minorHAnsi"/>
          <w:b/>
        </w:rPr>
      </w:pPr>
    </w:p>
    <w:p w14:paraId="6F487152" w14:textId="2E2F23D7" w:rsidR="00C646CA" w:rsidRPr="00477093" w:rsidRDefault="00C646CA" w:rsidP="00F16500">
      <w:pPr>
        <w:spacing w:after="0" w:line="240" w:lineRule="auto"/>
        <w:contextualSpacing/>
        <w:rPr>
          <w:rFonts w:cstheme="minorHAnsi"/>
          <w:b/>
        </w:rPr>
      </w:pPr>
      <w:r w:rsidRPr="00477093">
        <w:rPr>
          <w:rFonts w:cstheme="minorHAnsi"/>
          <w:b/>
        </w:rPr>
        <w:t>OVERVIEW</w:t>
      </w:r>
    </w:p>
    <w:p w14:paraId="0BD0B520" w14:textId="36468027" w:rsidR="00C646CA" w:rsidRDefault="00CC79B2" w:rsidP="00F16500">
      <w:pPr>
        <w:spacing w:after="0" w:line="240" w:lineRule="auto"/>
        <w:contextualSpacing/>
        <w:rPr>
          <w:rFonts w:cstheme="minorHAnsi"/>
          <w:color w:val="000000"/>
          <w:shd w:val="clear" w:color="auto" w:fill="FFFFFF"/>
        </w:rPr>
      </w:pPr>
      <w:r w:rsidRPr="00477093">
        <w:rPr>
          <w:rFonts w:cstheme="minorHAnsi"/>
          <w:color w:val="000000"/>
          <w:shd w:val="clear" w:color="auto" w:fill="FFFFFF"/>
        </w:rPr>
        <w:t xml:space="preserve">Students in the clinic will have the opportunity to experience an insider’s view of attorneys working in the sports law field.   Students may also have the opportunity to participate or observe negotiating strategies and learn how to draft, and analyze the various “moving parts” of complicated agreements regarding stadium leasing; naming rights; sponsorship; media rights; food and beverage; provision of medical; hospital and financial services; state-operated entities; and purchase and sale of sports teams.   </w:t>
      </w:r>
    </w:p>
    <w:p w14:paraId="49AF2844" w14:textId="77777777" w:rsidR="00477093" w:rsidRPr="00477093" w:rsidRDefault="00477093" w:rsidP="00F16500">
      <w:pPr>
        <w:spacing w:after="0" w:line="240" w:lineRule="auto"/>
        <w:contextualSpacing/>
        <w:rPr>
          <w:rFonts w:cstheme="minorHAnsi"/>
          <w:b/>
        </w:rPr>
      </w:pPr>
    </w:p>
    <w:tbl>
      <w:tblPr>
        <w:tblStyle w:val="TableGrid"/>
        <w:tblW w:w="0" w:type="auto"/>
        <w:tblLook w:val="04A0" w:firstRow="1" w:lastRow="0" w:firstColumn="1" w:lastColumn="0" w:noHBand="0" w:noVBand="1"/>
      </w:tblPr>
      <w:tblGrid>
        <w:gridCol w:w="2335"/>
        <w:gridCol w:w="8190"/>
      </w:tblGrid>
      <w:tr w:rsidR="00C646CA" w:rsidRPr="00477093" w14:paraId="77E7308F" w14:textId="77777777" w:rsidTr="00477093">
        <w:tc>
          <w:tcPr>
            <w:tcW w:w="2335" w:type="dxa"/>
          </w:tcPr>
          <w:p w14:paraId="03BFE6C5" w14:textId="7C0EBAC2" w:rsidR="00C646CA" w:rsidRPr="00477093" w:rsidRDefault="00C646CA" w:rsidP="00F16500">
            <w:pPr>
              <w:contextualSpacing/>
              <w:rPr>
                <w:rFonts w:cstheme="minorHAnsi"/>
                <w:b/>
                <w:bCs/>
              </w:rPr>
            </w:pPr>
            <w:r w:rsidRPr="00477093">
              <w:rPr>
                <w:rFonts w:cstheme="minorHAnsi"/>
                <w:b/>
                <w:bCs/>
              </w:rPr>
              <w:t>SEMESTER(S) OFFERED</w:t>
            </w:r>
          </w:p>
        </w:tc>
        <w:tc>
          <w:tcPr>
            <w:tcW w:w="8190" w:type="dxa"/>
          </w:tcPr>
          <w:p w14:paraId="7404D187" w14:textId="7F8E45E6" w:rsidR="00C646CA" w:rsidRPr="00477093" w:rsidRDefault="00CC79B2" w:rsidP="00477093">
            <w:pPr>
              <w:contextualSpacing/>
              <w:rPr>
                <w:rFonts w:cstheme="minorHAnsi"/>
              </w:rPr>
            </w:pPr>
            <w:r w:rsidRPr="00477093">
              <w:rPr>
                <w:rFonts w:cstheme="minorHAnsi"/>
              </w:rPr>
              <w:t xml:space="preserve">Winter </w:t>
            </w:r>
            <w:r w:rsidR="00477093">
              <w:rPr>
                <w:rFonts w:cstheme="minorHAnsi"/>
              </w:rPr>
              <w:t xml:space="preserve">or Spring </w:t>
            </w:r>
          </w:p>
        </w:tc>
      </w:tr>
      <w:tr w:rsidR="00C646CA" w:rsidRPr="00477093" w14:paraId="2FB5B711" w14:textId="77777777" w:rsidTr="00477093">
        <w:tc>
          <w:tcPr>
            <w:tcW w:w="2335" w:type="dxa"/>
          </w:tcPr>
          <w:p w14:paraId="6DDBC7F5" w14:textId="68BCFF41" w:rsidR="00C646CA" w:rsidRPr="00477093" w:rsidRDefault="00C646CA" w:rsidP="00C646CA">
            <w:pPr>
              <w:contextualSpacing/>
              <w:rPr>
                <w:rFonts w:cstheme="minorHAnsi"/>
                <w:b/>
                <w:bCs/>
              </w:rPr>
            </w:pPr>
            <w:r w:rsidRPr="00477093">
              <w:rPr>
                <w:rFonts w:cstheme="minorHAnsi"/>
                <w:b/>
                <w:bCs/>
              </w:rPr>
              <w:t>CLINICAL COURSE COMPONENT</w:t>
            </w:r>
          </w:p>
          <w:p w14:paraId="7B3EDC5A" w14:textId="77777777" w:rsidR="00C646CA" w:rsidRPr="00477093" w:rsidRDefault="00C646CA" w:rsidP="00F16500">
            <w:pPr>
              <w:contextualSpacing/>
              <w:rPr>
                <w:rFonts w:cstheme="minorHAnsi"/>
                <w:b/>
                <w:bCs/>
              </w:rPr>
            </w:pPr>
          </w:p>
        </w:tc>
        <w:tc>
          <w:tcPr>
            <w:tcW w:w="8190" w:type="dxa"/>
          </w:tcPr>
          <w:p w14:paraId="5192B1C3" w14:textId="77777777" w:rsidR="00477093" w:rsidRDefault="00477093" w:rsidP="00F16500">
            <w:pPr>
              <w:contextualSpacing/>
              <w:rPr>
                <w:rFonts w:cstheme="minorHAnsi"/>
              </w:rPr>
            </w:pPr>
            <w:r>
              <w:rPr>
                <w:rFonts w:cstheme="minorHAnsi"/>
              </w:rPr>
              <w:t>Students must complete one of these courses before they are eligible to apply to the clinic:</w:t>
            </w:r>
          </w:p>
          <w:p w14:paraId="2159B922" w14:textId="77777777" w:rsidR="00477093" w:rsidRPr="00477093" w:rsidRDefault="00477093" w:rsidP="00477093">
            <w:pPr>
              <w:contextualSpacing/>
              <w:rPr>
                <w:rFonts w:cstheme="minorHAnsi"/>
              </w:rPr>
            </w:pPr>
            <w:r w:rsidRPr="00477093">
              <w:rPr>
                <w:rFonts w:cstheme="minorHAnsi"/>
              </w:rPr>
              <w:t>Sports and the Law: Examining the Legal History and Evolution of America's Three "Major League" Sports: MLB, NFL and NBA</w:t>
            </w:r>
          </w:p>
          <w:p w14:paraId="0A20113D" w14:textId="77777777" w:rsidR="00477093" w:rsidRPr="00477093" w:rsidRDefault="00477093" w:rsidP="00477093">
            <w:pPr>
              <w:contextualSpacing/>
              <w:rPr>
                <w:rFonts w:cstheme="minorHAnsi"/>
              </w:rPr>
            </w:pPr>
            <w:r w:rsidRPr="00477093">
              <w:rPr>
                <w:rFonts w:cstheme="minorHAnsi"/>
              </w:rPr>
              <w:t>Sports and the Law: Representing the Professional Athlete</w:t>
            </w:r>
          </w:p>
          <w:p w14:paraId="35985305" w14:textId="0B421A5E" w:rsidR="00C646CA" w:rsidRPr="00477093" w:rsidRDefault="00477093" w:rsidP="00477093">
            <w:pPr>
              <w:contextualSpacing/>
              <w:rPr>
                <w:rFonts w:cstheme="minorHAnsi"/>
              </w:rPr>
            </w:pPr>
            <w:r w:rsidRPr="00477093">
              <w:rPr>
                <w:rFonts w:cstheme="minorHAnsi"/>
              </w:rPr>
              <w:t>Sports Law: Advanced Contract Drafting</w:t>
            </w:r>
          </w:p>
        </w:tc>
      </w:tr>
      <w:tr w:rsidR="00C646CA" w:rsidRPr="00477093" w14:paraId="478D24ED" w14:textId="77777777" w:rsidTr="00477093">
        <w:tc>
          <w:tcPr>
            <w:tcW w:w="2335" w:type="dxa"/>
          </w:tcPr>
          <w:p w14:paraId="693CCF41" w14:textId="66CB170B" w:rsidR="00C646CA" w:rsidRPr="00477093" w:rsidRDefault="00C646CA" w:rsidP="00F16500">
            <w:pPr>
              <w:contextualSpacing/>
              <w:rPr>
                <w:rFonts w:cstheme="minorHAnsi"/>
                <w:b/>
                <w:bCs/>
              </w:rPr>
            </w:pPr>
            <w:r w:rsidRPr="00477093">
              <w:rPr>
                <w:rFonts w:cstheme="minorHAnsi"/>
                <w:b/>
                <w:bCs/>
              </w:rPr>
              <w:t>COURSE CREDITS</w:t>
            </w:r>
          </w:p>
        </w:tc>
        <w:tc>
          <w:tcPr>
            <w:tcW w:w="8190" w:type="dxa"/>
          </w:tcPr>
          <w:p w14:paraId="5CE7E6C6" w14:textId="3D6D40B6" w:rsidR="00C646CA" w:rsidRPr="00477093" w:rsidRDefault="00477093" w:rsidP="00F16500">
            <w:pPr>
              <w:contextualSpacing/>
              <w:rPr>
                <w:rFonts w:cstheme="minorHAnsi"/>
              </w:rPr>
            </w:pPr>
            <w:r>
              <w:rPr>
                <w:rFonts w:cstheme="minorHAnsi"/>
              </w:rPr>
              <w:t>See course catalog descriptions for credit information</w:t>
            </w:r>
          </w:p>
        </w:tc>
      </w:tr>
      <w:tr w:rsidR="00C646CA" w:rsidRPr="00477093" w14:paraId="6E0344E1" w14:textId="77777777" w:rsidTr="00477093">
        <w:tc>
          <w:tcPr>
            <w:tcW w:w="2335" w:type="dxa"/>
          </w:tcPr>
          <w:p w14:paraId="0CCE80A0" w14:textId="10A0B956" w:rsidR="00C646CA" w:rsidRPr="00477093" w:rsidRDefault="00C646CA" w:rsidP="00F16500">
            <w:pPr>
              <w:contextualSpacing/>
              <w:rPr>
                <w:rFonts w:cstheme="minorHAnsi"/>
                <w:b/>
                <w:bCs/>
              </w:rPr>
            </w:pPr>
            <w:r w:rsidRPr="00477093">
              <w:rPr>
                <w:rFonts w:cstheme="minorHAnsi"/>
                <w:b/>
                <w:bCs/>
              </w:rPr>
              <w:t>CLINICAL CREDITS</w:t>
            </w:r>
          </w:p>
        </w:tc>
        <w:tc>
          <w:tcPr>
            <w:tcW w:w="8190" w:type="dxa"/>
          </w:tcPr>
          <w:p w14:paraId="69293C82" w14:textId="5B03187B" w:rsidR="00C646CA" w:rsidRPr="00477093" w:rsidRDefault="00477093" w:rsidP="00477093">
            <w:pPr>
              <w:contextualSpacing/>
              <w:rPr>
                <w:rFonts w:cstheme="minorHAnsi"/>
              </w:rPr>
            </w:pPr>
            <w:r>
              <w:rPr>
                <w:rFonts w:cstheme="minorHAnsi"/>
              </w:rPr>
              <w:t>2 clinical credits for Winter Term; 2, 3, 4 or 5 clinical credits for Spring term</w:t>
            </w:r>
          </w:p>
        </w:tc>
      </w:tr>
      <w:tr w:rsidR="00C646CA" w:rsidRPr="00477093" w14:paraId="346BCF30" w14:textId="77777777" w:rsidTr="00477093">
        <w:tc>
          <w:tcPr>
            <w:tcW w:w="2335" w:type="dxa"/>
          </w:tcPr>
          <w:p w14:paraId="303241C5" w14:textId="6210710D" w:rsidR="00C646CA" w:rsidRPr="00477093" w:rsidRDefault="00C646CA" w:rsidP="00C646CA">
            <w:pPr>
              <w:contextualSpacing/>
              <w:rPr>
                <w:rFonts w:cstheme="minorHAnsi"/>
                <w:b/>
                <w:bCs/>
              </w:rPr>
            </w:pPr>
            <w:r w:rsidRPr="00477093">
              <w:rPr>
                <w:rFonts w:cstheme="minorHAnsi"/>
                <w:b/>
                <w:bCs/>
              </w:rPr>
              <w:t>LOCATION</w:t>
            </w:r>
          </w:p>
        </w:tc>
        <w:tc>
          <w:tcPr>
            <w:tcW w:w="8190" w:type="dxa"/>
          </w:tcPr>
          <w:p w14:paraId="1311FEE2" w14:textId="7DCECA64" w:rsidR="00C646CA" w:rsidRPr="00477093" w:rsidRDefault="00477093" w:rsidP="00C646CA">
            <w:pPr>
              <w:contextualSpacing/>
              <w:rPr>
                <w:rFonts w:cstheme="minorHAnsi"/>
              </w:rPr>
            </w:pPr>
            <w:r>
              <w:rPr>
                <w:rFonts w:cstheme="minorHAnsi"/>
              </w:rPr>
              <w:t>Various placements nationwide</w:t>
            </w:r>
          </w:p>
        </w:tc>
      </w:tr>
      <w:tr w:rsidR="00C646CA" w:rsidRPr="00477093" w14:paraId="055DF381" w14:textId="77777777" w:rsidTr="00477093">
        <w:tc>
          <w:tcPr>
            <w:tcW w:w="2335" w:type="dxa"/>
          </w:tcPr>
          <w:p w14:paraId="4A4CFAC8" w14:textId="2BCDF4BE" w:rsidR="00C646CA" w:rsidRPr="00477093" w:rsidRDefault="00C646CA" w:rsidP="00C646CA">
            <w:pPr>
              <w:contextualSpacing/>
              <w:rPr>
                <w:rFonts w:cstheme="minorHAnsi"/>
                <w:b/>
                <w:bCs/>
              </w:rPr>
            </w:pPr>
            <w:r w:rsidRPr="00477093">
              <w:rPr>
                <w:rFonts w:cstheme="minorHAnsi"/>
                <w:b/>
                <w:bCs/>
              </w:rPr>
              <w:t>REGISTRATION TYPE</w:t>
            </w:r>
          </w:p>
        </w:tc>
        <w:tc>
          <w:tcPr>
            <w:tcW w:w="8190" w:type="dxa"/>
          </w:tcPr>
          <w:p w14:paraId="063DA134" w14:textId="47D81DA2" w:rsidR="00C646CA" w:rsidRPr="00477093" w:rsidRDefault="00C646CA" w:rsidP="00CC79B2">
            <w:pPr>
              <w:contextualSpacing/>
              <w:rPr>
                <w:rFonts w:cstheme="minorHAnsi"/>
              </w:rPr>
            </w:pPr>
            <w:r w:rsidRPr="00477093">
              <w:rPr>
                <w:rFonts w:cstheme="minorHAnsi"/>
              </w:rPr>
              <w:t xml:space="preserve">By Application </w:t>
            </w:r>
            <w:r w:rsidR="006370DF">
              <w:rPr>
                <w:rFonts w:cstheme="minorHAnsi"/>
              </w:rPr>
              <w:t>(Due October 11, 2023)</w:t>
            </w:r>
            <w:bookmarkStart w:id="0" w:name="_GoBack"/>
            <w:bookmarkEnd w:id="0"/>
          </w:p>
        </w:tc>
      </w:tr>
    </w:tbl>
    <w:p w14:paraId="7057BC07" w14:textId="77777777" w:rsidR="00C646CA" w:rsidRPr="00477093" w:rsidRDefault="00C646CA" w:rsidP="00F16500">
      <w:pPr>
        <w:spacing w:after="0" w:line="240" w:lineRule="auto"/>
        <w:contextualSpacing/>
        <w:rPr>
          <w:rFonts w:cstheme="minorHAnsi"/>
          <w:b/>
        </w:rPr>
      </w:pPr>
    </w:p>
    <w:p w14:paraId="4E296116" w14:textId="77777777" w:rsidR="00477093" w:rsidRDefault="001A58CD" w:rsidP="00477093">
      <w:pPr>
        <w:spacing w:after="0" w:line="240" w:lineRule="auto"/>
        <w:contextualSpacing/>
        <w:rPr>
          <w:rFonts w:cstheme="minorHAnsi"/>
          <w:b/>
        </w:rPr>
      </w:pPr>
      <w:r w:rsidRPr="00477093">
        <w:rPr>
          <w:rFonts w:cstheme="minorHAnsi"/>
          <w:b/>
        </w:rPr>
        <w:t>TYPES OF CASES/CLIENTS</w:t>
      </w:r>
      <w:r w:rsidR="00C646CA" w:rsidRPr="00477093">
        <w:rPr>
          <w:rFonts w:cstheme="minorHAnsi"/>
          <w:b/>
        </w:rPr>
        <w:t>/PROJECTS</w:t>
      </w:r>
      <w:r w:rsidR="0015216C" w:rsidRPr="00477093">
        <w:rPr>
          <w:rFonts w:cstheme="minorHAnsi"/>
          <w:b/>
        </w:rPr>
        <w:t xml:space="preserve">  </w:t>
      </w:r>
    </w:p>
    <w:p w14:paraId="5BC7E76A" w14:textId="1AF1ED4D" w:rsidR="0015216C" w:rsidRPr="00477093" w:rsidRDefault="0015216C" w:rsidP="00477093">
      <w:pPr>
        <w:spacing w:after="0" w:line="240" w:lineRule="auto"/>
        <w:contextualSpacing/>
        <w:rPr>
          <w:rFonts w:cstheme="minorHAnsi"/>
        </w:rPr>
      </w:pPr>
      <w:r w:rsidRPr="00477093">
        <w:rPr>
          <w:rFonts w:cstheme="minorHAnsi"/>
        </w:rPr>
        <w:t xml:space="preserve">Placements are with Sports agencies, teams, leagues, players associations, and with attorneys who specialize in sports law.   </w:t>
      </w:r>
    </w:p>
    <w:p w14:paraId="4389C26F" w14:textId="77777777" w:rsidR="00C5557E" w:rsidRPr="00477093" w:rsidRDefault="00C5557E" w:rsidP="00C5557E">
      <w:pPr>
        <w:spacing w:after="0" w:line="240" w:lineRule="auto"/>
        <w:contextualSpacing/>
        <w:rPr>
          <w:rFonts w:cstheme="minorHAnsi"/>
        </w:rPr>
      </w:pPr>
    </w:p>
    <w:p w14:paraId="21C77B21" w14:textId="246CD146" w:rsidR="00C5557E" w:rsidRPr="00477093" w:rsidRDefault="00C5557E" w:rsidP="00C5557E">
      <w:pPr>
        <w:spacing w:after="0" w:line="240" w:lineRule="auto"/>
        <w:contextualSpacing/>
        <w:rPr>
          <w:rFonts w:cstheme="minorHAnsi"/>
          <w:b/>
        </w:rPr>
      </w:pPr>
      <w:r w:rsidRPr="00477093">
        <w:rPr>
          <w:rFonts w:cstheme="minorHAnsi"/>
          <w:b/>
        </w:rPr>
        <w:t>SKILLS</w:t>
      </w:r>
    </w:p>
    <w:tbl>
      <w:tblPr>
        <w:tblStyle w:val="TableGrid"/>
        <w:tblW w:w="0" w:type="auto"/>
        <w:tblLook w:val="04A0" w:firstRow="1" w:lastRow="0" w:firstColumn="1" w:lastColumn="0" w:noHBand="0" w:noVBand="1"/>
      </w:tblPr>
      <w:tblGrid>
        <w:gridCol w:w="3116"/>
      </w:tblGrid>
      <w:tr w:rsidR="00477093" w:rsidRPr="00477093" w14:paraId="56C779D0" w14:textId="77777777" w:rsidTr="00A82F57">
        <w:tc>
          <w:tcPr>
            <w:tcW w:w="3116" w:type="dxa"/>
          </w:tcPr>
          <w:p w14:paraId="7CCB5A61" w14:textId="69569F3E" w:rsidR="00477093" w:rsidRPr="00477093" w:rsidRDefault="00477093" w:rsidP="004531D4">
            <w:pPr>
              <w:contextualSpacing/>
              <w:rPr>
                <w:rFonts w:cstheme="minorHAnsi"/>
              </w:rPr>
            </w:pPr>
            <w:r w:rsidRPr="00477093">
              <w:rPr>
                <w:rFonts w:cstheme="minorHAnsi"/>
              </w:rPr>
              <w:t>Memo writing</w:t>
            </w:r>
          </w:p>
        </w:tc>
      </w:tr>
      <w:tr w:rsidR="00477093" w:rsidRPr="00477093" w14:paraId="126B7401" w14:textId="77777777" w:rsidTr="00A82F57">
        <w:tc>
          <w:tcPr>
            <w:tcW w:w="3116" w:type="dxa"/>
          </w:tcPr>
          <w:p w14:paraId="3D9904E4" w14:textId="77777777" w:rsidR="00477093" w:rsidRPr="00477093" w:rsidRDefault="00477093" w:rsidP="00A82F57">
            <w:pPr>
              <w:contextualSpacing/>
              <w:rPr>
                <w:rFonts w:cstheme="minorHAnsi"/>
              </w:rPr>
            </w:pPr>
            <w:r w:rsidRPr="00477093">
              <w:rPr>
                <w:rFonts w:cstheme="minorHAnsi"/>
              </w:rPr>
              <w:t>Legal research and writing</w:t>
            </w:r>
          </w:p>
        </w:tc>
      </w:tr>
      <w:tr w:rsidR="00477093" w:rsidRPr="00477093" w14:paraId="5BD51217" w14:textId="77777777" w:rsidTr="00A82F57">
        <w:tc>
          <w:tcPr>
            <w:tcW w:w="3116" w:type="dxa"/>
          </w:tcPr>
          <w:p w14:paraId="3F4DF573" w14:textId="77777777" w:rsidR="00477093" w:rsidRPr="00477093" w:rsidRDefault="00477093" w:rsidP="00A82F57">
            <w:pPr>
              <w:contextualSpacing/>
              <w:rPr>
                <w:rFonts w:cstheme="minorHAnsi"/>
              </w:rPr>
            </w:pPr>
            <w:r w:rsidRPr="00477093">
              <w:rPr>
                <w:rFonts w:cstheme="minorHAnsi"/>
              </w:rPr>
              <w:t>Strategizing cases</w:t>
            </w:r>
          </w:p>
        </w:tc>
      </w:tr>
      <w:tr w:rsidR="00477093" w:rsidRPr="00477093" w14:paraId="204FB1A8" w14:textId="77777777" w:rsidTr="00A82F57">
        <w:tc>
          <w:tcPr>
            <w:tcW w:w="3116" w:type="dxa"/>
          </w:tcPr>
          <w:p w14:paraId="1823D2E7" w14:textId="42884F7A" w:rsidR="00477093" w:rsidRPr="00477093" w:rsidRDefault="00477093" w:rsidP="00312B48">
            <w:pPr>
              <w:contextualSpacing/>
              <w:rPr>
                <w:rFonts w:cstheme="minorHAnsi"/>
              </w:rPr>
            </w:pPr>
            <w:r w:rsidRPr="00477093">
              <w:rPr>
                <w:rFonts w:cstheme="minorHAnsi"/>
              </w:rPr>
              <w:t xml:space="preserve">Contract drafting &amp; reviewing </w:t>
            </w:r>
          </w:p>
        </w:tc>
      </w:tr>
    </w:tbl>
    <w:p w14:paraId="048A746E" w14:textId="77777777" w:rsidR="00C646CA" w:rsidRPr="00477093" w:rsidRDefault="00C646CA" w:rsidP="00F16500">
      <w:pPr>
        <w:spacing w:after="0" w:line="240" w:lineRule="auto"/>
        <w:contextualSpacing/>
        <w:rPr>
          <w:rFonts w:cstheme="minorHAnsi"/>
        </w:rPr>
      </w:pPr>
    </w:p>
    <w:p w14:paraId="789D8280" w14:textId="047E499A" w:rsidR="001A58CD" w:rsidRPr="00477093" w:rsidRDefault="001A58CD" w:rsidP="00F16500">
      <w:pPr>
        <w:spacing w:after="0" w:line="240" w:lineRule="auto"/>
        <w:contextualSpacing/>
        <w:rPr>
          <w:rFonts w:cstheme="minorHAnsi"/>
        </w:rPr>
      </w:pPr>
    </w:p>
    <w:p w14:paraId="7BDA3F88" w14:textId="210F50E6" w:rsidR="001A58CD" w:rsidRDefault="001A58CD" w:rsidP="00F16500">
      <w:pPr>
        <w:spacing w:after="0" w:line="240" w:lineRule="auto"/>
        <w:contextualSpacing/>
        <w:rPr>
          <w:rFonts w:cstheme="minorHAnsi"/>
          <w:b/>
        </w:rPr>
      </w:pPr>
      <w:r w:rsidRPr="00477093">
        <w:rPr>
          <w:rFonts w:cstheme="minorHAnsi"/>
          <w:b/>
        </w:rPr>
        <w:t>TYPICAL WORK SCHEDULE</w:t>
      </w:r>
    </w:p>
    <w:p w14:paraId="639F5D0C" w14:textId="0AE9A7F7" w:rsidR="00E277E3" w:rsidRPr="00E277E3" w:rsidRDefault="00E277E3" w:rsidP="00F16500">
      <w:pPr>
        <w:spacing w:after="0" w:line="240" w:lineRule="auto"/>
        <w:contextualSpacing/>
        <w:rPr>
          <w:rFonts w:cstheme="minorHAnsi"/>
        </w:rPr>
      </w:pPr>
      <w:r>
        <w:rPr>
          <w:rFonts w:cstheme="minorHAnsi"/>
        </w:rPr>
        <w:t>Winter term students work full-time over Winter term. Spring term students work between 8-20 hours/week over the semester.  Depending on the placement, the work may be done in-person or remotely.</w:t>
      </w:r>
    </w:p>
    <w:p w14:paraId="6C54899F" w14:textId="77777777" w:rsidR="00E277E3" w:rsidRDefault="00E277E3" w:rsidP="00F16500">
      <w:pPr>
        <w:spacing w:after="0" w:line="240" w:lineRule="auto"/>
        <w:contextualSpacing/>
        <w:rPr>
          <w:rFonts w:cstheme="minorHAnsi"/>
          <w:b/>
        </w:rPr>
      </w:pPr>
    </w:p>
    <w:tbl>
      <w:tblPr>
        <w:tblStyle w:val="TableGrid"/>
        <w:tblW w:w="9270" w:type="dxa"/>
        <w:tblInd w:w="532" w:type="dxa"/>
        <w:tblLayout w:type="fixed"/>
        <w:tblLook w:val="0600" w:firstRow="0" w:lastRow="0" w:firstColumn="0" w:lastColumn="0" w:noHBand="1" w:noVBand="1"/>
      </w:tblPr>
      <w:tblGrid>
        <w:gridCol w:w="4680"/>
        <w:gridCol w:w="4590"/>
      </w:tblGrid>
      <w:tr w:rsidR="00E277E3" w14:paraId="54706AD8" w14:textId="77777777" w:rsidTr="00E277E3">
        <w:trPr>
          <w:trHeight w:val="327"/>
        </w:trPr>
        <w:tc>
          <w:tcPr>
            <w:tcW w:w="4680" w:type="dxa"/>
            <w:tcBorders>
              <w:top w:val="single" w:sz="6" w:space="0" w:color="9E9E9E"/>
              <w:left w:val="single" w:sz="6" w:space="0" w:color="9E9E9E"/>
              <w:bottom w:val="single" w:sz="6" w:space="0" w:color="9E9E9E"/>
              <w:right w:val="single" w:sz="6" w:space="0" w:color="9E9E9E"/>
            </w:tcBorders>
          </w:tcPr>
          <w:p w14:paraId="34BFFD86" w14:textId="77777777" w:rsidR="00E277E3" w:rsidRPr="00715325" w:rsidRDefault="00E277E3" w:rsidP="005E2C44">
            <w:pPr>
              <w:jc w:val="center"/>
            </w:pPr>
            <w:r w:rsidRPr="00715325">
              <w:rPr>
                <w:rFonts w:eastAsia="Arial" w:cs="Arial"/>
                <w:b/>
                <w:bCs/>
                <w:color w:val="000000" w:themeColor="text1"/>
                <w:sz w:val="26"/>
                <w:szCs w:val="26"/>
              </w:rPr>
              <w:t>Morning</w:t>
            </w:r>
          </w:p>
        </w:tc>
        <w:tc>
          <w:tcPr>
            <w:tcW w:w="4590" w:type="dxa"/>
            <w:tcBorders>
              <w:top w:val="single" w:sz="6" w:space="0" w:color="9E9E9E"/>
              <w:left w:val="single" w:sz="6" w:space="0" w:color="9E9E9E"/>
              <w:bottom w:val="single" w:sz="6" w:space="0" w:color="9E9E9E"/>
              <w:right w:val="single" w:sz="6" w:space="0" w:color="9E9E9E"/>
            </w:tcBorders>
          </w:tcPr>
          <w:p w14:paraId="446DD259" w14:textId="77777777" w:rsidR="00E277E3" w:rsidRPr="00715325" w:rsidRDefault="00E277E3" w:rsidP="005E2C44">
            <w:pPr>
              <w:jc w:val="center"/>
            </w:pPr>
            <w:r w:rsidRPr="00715325">
              <w:rPr>
                <w:rFonts w:eastAsia="Arial" w:cs="Arial"/>
                <w:b/>
                <w:bCs/>
                <w:color w:val="000000" w:themeColor="text1"/>
                <w:sz w:val="26"/>
                <w:szCs w:val="26"/>
              </w:rPr>
              <w:t>Afternoon</w:t>
            </w:r>
          </w:p>
        </w:tc>
      </w:tr>
      <w:tr w:rsidR="00E277E3" w14:paraId="462B04E5" w14:textId="77777777" w:rsidTr="00E277E3">
        <w:trPr>
          <w:trHeight w:val="1731"/>
        </w:trPr>
        <w:tc>
          <w:tcPr>
            <w:tcW w:w="4680" w:type="dxa"/>
            <w:tcBorders>
              <w:top w:val="single" w:sz="6" w:space="0" w:color="9E9E9E"/>
              <w:left w:val="single" w:sz="6" w:space="0" w:color="9E9E9E"/>
              <w:bottom w:val="single" w:sz="6" w:space="0" w:color="9E9E9E"/>
              <w:right w:val="single" w:sz="6" w:space="0" w:color="9E9E9E"/>
            </w:tcBorders>
          </w:tcPr>
          <w:p w14:paraId="77BFBB34" w14:textId="05113407" w:rsidR="00E277E3" w:rsidRPr="00867A5F" w:rsidRDefault="00E277E3" w:rsidP="005E2C44">
            <w:pPr>
              <w:rPr>
                <w:sz w:val="20"/>
              </w:rPr>
            </w:pPr>
            <w:r>
              <w:rPr>
                <w:rFonts w:eastAsia="Raleway" w:cs="Raleway"/>
                <w:b/>
                <w:bCs/>
                <w:color w:val="000000" w:themeColor="text1"/>
                <w:sz w:val="20"/>
              </w:rPr>
              <w:t xml:space="preserve">9:00 – 9:15am: </w:t>
            </w:r>
            <w:r>
              <w:rPr>
                <w:rFonts w:eastAsia="Raleway" w:cs="Raleway"/>
                <w:bCs/>
                <w:color w:val="000000" w:themeColor="text1"/>
                <w:sz w:val="20"/>
              </w:rPr>
              <w:t>Check in with supervisor; receive contracts to review (mainly sponsorship deals)</w:t>
            </w:r>
          </w:p>
          <w:p w14:paraId="117DB8D3" w14:textId="76C78151" w:rsidR="00E277E3" w:rsidRPr="00715325" w:rsidRDefault="00E277E3" w:rsidP="005E2C44">
            <w:pPr>
              <w:rPr>
                <w:sz w:val="20"/>
              </w:rPr>
            </w:pPr>
            <w:r>
              <w:rPr>
                <w:rFonts w:eastAsia="Raleway" w:cs="Raleway"/>
                <w:b/>
                <w:bCs/>
                <w:color w:val="000000" w:themeColor="text1"/>
                <w:sz w:val="20"/>
              </w:rPr>
              <w:t>9:15 – 11:00am</w:t>
            </w:r>
            <w:r w:rsidRPr="00715325">
              <w:rPr>
                <w:rFonts w:eastAsia="Raleway" w:cs="Raleway"/>
                <w:b/>
                <w:bCs/>
                <w:color w:val="000000" w:themeColor="text1"/>
                <w:sz w:val="20"/>
              </w:rPr>
              <w:t>:</w:t>
            </w:r>
            <w:r w:rsidRPr="00715325">
              <w:rPr>
                <w:rFonts w:eastAsia="Raleway" w:cs="Raleway"/>
                <w:color w:val="000000" w:themeColor="text1"/>
                <w:sz w:val="20"/>
              </w:rPr>
              <w:t xml:space="preserve"> </w:t>
            </w:r>
            <w:r>
              <w:rPr>
                <w:rFonts w:eastAsia="Raleway" w:cs="Raleway"/>
                <w:color w:val="000000" w:themeColor="text1"/>
                <w:sz w:val="20"/>
              </w:rPr>
              <w:t>Draft amended agreement with a stadium vendor; send to supervisor</w:t>
            </w:r>
          </w:p>
          <w:p w14:paraId="1F281EBE" w14:textId="19319B03" w:rsidR="00E277E3" w:rsidRPr="00715325" w:rsidRDefault="00E277E3" w:rsidP="005E2C44">
            <w:pPr>
              <w:rPr>
                <w:sz w:val="20"/>
              </w:rPr>
            </w:pPr>
            <w:r>
              <w:rPr>
                <w:rFonts w:eastAsia="Raleway" w:cs="Raleway"/>
                <w:b/>
                <w:bCs/>
                <w:color w:val="000000" w:themeColor="text1"/>
                <w:sz w:val="20"/>
              </w:rPr>
              <w:t>11:00</w:t>
            </w:r>
            <w:r w:rsidRPr="00715325">
              <w:rPr>
                <w:rFonts w:eastAsia="Raleway" w:cs="Raleway"/>
                <w:b/>
                <w:bCs/>
                <w:color w:val="000000" w:themeColor="text1"/>
                <w:sz w:val="20"/>
              </w:rPr>
              <w:t>am</w:t>
            </w:r>
            <w:r>
              <w:rPr>
                <w:rFonts w:eastAsia="Raleway" w:cs="Raleway"/>
                <w:b/>
                <w:bCs/>
                <w:color w:val="000000" w:themeColor="text1"/>
                <w:sz w:val="20"/>
              </w:rPr>
              <w:t xml:space="preserve"> – 12:00pm</w:t>
            </w:r>
            <w:r w:rsidRPr="00715325">
              <w:rPr>
                <w:rFonts w:eastAsia="Raleway" w:cs="Raleway"/>
                <w:b/>
                <w:bCs/>
                <w:color w:val="000000" w:themeColor="text1"/>
                <w:sz w:val="20"/>
              </w:rPr>
              <w:t>:</w:t>
            </w:r>
            <w:r w:rsidRPr="00715325">
              <w:rPr>
                <w:rFonts w:eastAsia="Raleway" w:cs="Raleway"/>
                <w:color w:val="000000" w:themeColor="text1"/>
                <w:sz w:val="20"/>
              </w:rPr>
              <w:t xml:space="preserve"> S</w:t>
            </w:r>
            <w:r>
              <w:rPr>
                <w:rFonts w:eastAsia="Raleway" w:cs="Raleway"/>
                <w:color w:val="000000" w:themeColor="text1"/>
                <w:sz w:val="20"/>
              </w:rPr>
              <w:t>tart reviewing sponsorship contracts</w:t>
            </w:r>
          </w:p>
          <w:p w14:paraId="36321A8E" w14:textId="72A3102B" w:rsidR="00E277E3" w:rsidRPr="00715325" w:rsidRDefault="00E277E3" w:rsidP="00867A5F">
            <w:pPr>
              <w:rPr>
                <w:sz w:val="20"/>
              </w:rPr>
            </w:pPr>
          </w:p>
        </w:tc>
        <w:tc>
          <w:tcPr>
            <w:tcW w:w="4590" w:type="dxa"/>
            <w:tcBorders>
              <w:top w:val="single" w:sz="6" w:space="0" w:color="9E9E9E"/>
              <w:left w:val="single" w:sz="6" w:space="0" w:color="9E9E9E"/>
              <w:bottom w:val="single" w:sz="6" w:space="0" w:color="9E9E9E"/>
              <w:right w:val="single" w:sz="6" w:space="0" w:color="9E9E9E"/>
            </w:tcBorders>
          </w:tcPr>
          <w:p w14:paraId="73CCDDFD" w14:textId="773D228D" w:rsidR="00E277E3" w:rsidRDefault="00E277E3" w:rsidP="005E2C44">
            <w:pPr>
              <w:rPr>
                <w:rFonts w:eastAsia="Raleway" w:cs="Raleway"/>
                <w:bCs/>
                <w:color w:val="000000" w:themeColor="text1"/>
                <w:sz w:val="20"/>
                <w:szCs w:val="20"/>
              </w:rPr>
            </w:pPr>
            <w:r>
              <w:rPr>
                <w:rFonts w:eastAsia="Raleway" w:cs="Raleway"/>
                <w:b/>
                <w:bCs/>
                <w:color w:val="000000" w:themeColor="text1"/>
                <w:sz w:val="20"/>
                <w:szCs w:val="20"/>
              </w:rPr>
              <w:t>12:00 – 1:00pm:</w:t>
            </w:r>
            <w:r>
              <w:rPr>
                <w:rFonts w:eastAsia="Raleway" w:cs="Raleway"/>
                <w:bCs/>
                <w:color w:val="000000" w:themeColor="text1"/>
                <w:sz w:val="20"/>
                <w:szCs w:val="20"/>
              </w:rPr>
              <w:t xml:space="preserve"> Lunch with fellow interns</w:t>
            </w:r>
          </w:p>
          <w:p w14:paraId="165DCBED" w14:textId="03FCE075" w:rsidR="00E277E3" w:rsidRDefault="00E277E3" w:rsidP="005E2C44">
            <w:pPr>
              <w:rPr>
                <w:rFonts w:eastAsia="Raleway" w:cs="Raleway"/>
                <w:bCs/>
                <w:color w:val="000000" w:themeColor="text1"/>
                <w:sz w:val="20"/>
                <w:szCs w:val="20"/>
              </w:rPr>
            </w:pPr>
            <w:r>
              <w:rPr>
                <w:rFonts w:eastAsia="Raleway" w:cs="Raleway"/>
                <w:b/>
                <w:bCs/>
                <w:color w:val="000000" w:themeColor="text1"/>
                <w:sz w:val="20"/>
                <w:szCs w:val="20"/>
              </w:rPr>
              <w:t xml:space="preserve">1:00 – 3:30pm: </w:t>
            </w:r>
            <w:r>
              <w:rPr>
                <w:rFonts w:eastAsia="Raleway" w:cs="Raleway"/>
                <w:bCs/>
                <w:color w:val="000000" w:themeColor="text1"/>
                <w:sz w:val="20"/>
                <w:szCs w:val="20"/>
              </w:rPr>
              <w:t>Finalize new provisions and comments to contracts</w:t>
            </w:r>
          </w:p>
          <w:p w14:paraId="173B92EB" w14:textId="7A64BD39" w:rsidR="00E277E3" w:rsidRPr="00867A5F" w:rsidRDefault="00E277E3" w:rsidP="005E2C44">
            <w:pPr>
              <w:rPr>
                <w:sz w:val="20"/>
              </w:rPr>
            </w:pPr>
            <w:r>
              <w:rPr>
                <w:rFonts w:eastAsia="Raleway" w:cs="Raleway"/>
                <w:b/>
                <w:bCs/>
                <w:color w:val="000000" w:themeColor="text1"/>
                <w:sz w:val="20"/>
                <w:szCs w:val="20"/>
              </w:rPr>
              <w:t xml:space="preserve">3:30 – 5:00pm: </w:t>
            </w:r>
            <w:r>
              <w:rPr>
                <w:rFonts w:eastAsia="Raleway" w:cs="Raleway"/>
                <w:bCs/>
                <w:color w:val="000000" w:themeColor="text1"/>
                <w:sz w:val="20"/>
                <w:szCs w:val="20"/>
              </w:rPr>
              <w:t>Continue legal research for a long-term project from the start of the term (involves research current and proposed legislation)</w:t>
            </w:r>
          </w:p>
          <w:p w14:paraId="1729A9E9" w14:textId="3DB20CD5" w:rsidR="00E277E3" w:rsidRPr="00715325" w:rsidRDefault="00E277E3" w:rsidP="005E2C44">
            <w:pPr>
              <w:rPr>
                <w:sz w:val="20"/>
              </w:rPr>
            </w:pPr>
          </w:p>
        </w:tc>
      </w:tr>
    </w:tbl>
    <w:p w14:paraId="730DC4D4" w14:textId="32771D18" w:rsidR="00867A5F" w:rsidRPr="00477093" w:rsidRDefault="00867A5F" w:rsidP="00F16500">
      <w:pPr>
        <w:spacing w:after="0" w:line="240" w:lineRule="auto"/>
        <w:contextualSpacing/>
        <w:rPr>
          <w:rFonts w:cstheme="minorHAnsi"/>
          <w:b/>
        </w:rPr>
      </w:pPr>
    </w:p>
    <w:p w14:paraId="3E326209" w14:textId="511514CE" w:rsidR="00A74194" w:rsidRPr="00477093" w:rsidRDefault="00A74194" w:rsidP="00A40127">
      <w:pPr>
        <w:spacing w:after="0" w:line="240" w:lineRule="auto"/>
        <w:contextualSpacing/>
        <w:rPr>
          <w:rFonts w:cstheme="minorHAnsi"/>
        </w:rPr>
      </w:pPr>
    </w:p>
    <w:sectPr w:rsidR="00A74194" w:rsidRPr="00477093" w:rsidSect="00A4012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4E98" w14:textId="77777777" w:rsidR="00787970" w:rsidRDefault="00787970" w:rsidP="00787970">
      <w:pPr>
        <w:spacing w:after="0" w:line="240" w:lineRule="auto"/>
      </w:pPr>
      <w:r>
        <w:separator/>
      </w:r>
    </w:p>
  </w:endnote>
  <w:endnote w:type="continuationSeparator" w:id="0">
    <w:p w14:paraId="39CD6252" w14:textId="77777777" w:rsidR="00787970" w:rsidRDefault="00787970"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90A8C28" w14:paraId="4DE56761" w14:textId="77777777" w:rsidTr="590A8C28">
      <w:trPr>
        <w:trHeight w:val="300"/>
      </w:trPr>
      <w:tc>
        <w:tcPr>
          <w:tcW w:w="3120" w:type="dxa"/>
        </w:tcPr>
        <w:p w14:paraId="1DBEB3F6" w14:textId="3E16444F" w:rsidR="590A8C28" w:rsidRDefault="590A8C28" w:rsidP="590A8C28">
          <w:pPr>
            <w:pStyle w:val="Header"/>
            <w:ind w:left="-115"/>
          </w:pPr>
        </w:p>
      </w:tc>
      <w:tc>
        <w:tcPr>
          <w:tcW w:w="3120" w:type="dxa"/>
        </w:tcPr>
        <w:p w14:paraId="53DF35E4" w14:textId="3E961CE3" w:rsidR="590A8C28" w:rsidRDefault="590A8C28" w:rsidP="590A8C28">
          <w:pPr>
            <w:pStyle w:val="Header"/>
            <w:jc w:val="center"/>
          </w:pPr>
        </w:p>
      </w:tc>
      <w:tc>
        <w:tcPr>
          <w:tcW w:w="3120" w:type="dxa"/>
        </w:tcPr>
        <w:p w14:paraId="241DB90A" w14:textId="1D835050" w:rsidR="590A8C28" w:rsidRDefault="590A8C28" w:rsidP="590A8C28">
          <w:pPr>
            <w:pStyle w:val="Header"/>
            <w:ind w:right="-115"/>
            <w:jc w:val="right"/>
          </w:pPr>
        </w:p>
      </w:tc>
    </w:tr>
  </w:tbl>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DBA5" w14:textId="77777777" w:rsidR="00787970" w:rsidRDefault="00787970" w:rsidP="00787970">
      <w:pPr>
        <w:spacing w:after="0" w:line="240" w:lineRule="auto"/>
      </w:pPr>
      <w:r>
        <w:separator/>
      </w:r>
    </w:p>
  </w:footnote>
  <w:footnote w:type="continuationSeparator" w:id="0">
    <w:p w14:paraId="210BEC04" w14:textId="77777777" w:rsidR="00787970" w:rsidRDefault="00787970"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A87" w14:textId="7BCAA9DE" w:rsidR="590A8C28" w:rsidRDefault="00CC79B2" w:rsidP="590A8C28">
    <w:pPr>
      <w:spacing w:after="0" w:line="240" w:lineRule="auto"/>
      <w:contextualSpacing/>
      <w:jc w:val="center"/>
    </w:pPr>
    <w:r>
      <w:t>SPORTS LAW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A4BB9"/>
    <w:rsid w:val="0015216C"/>
    <w:rsid w:val="001A58CD"/>
    <w:rsid w:val="00236827"/>
    <w:rsid w:val="00312B48"/>
    <w:rsid w:val="004531D4"/>
    <w:rsid w:val="00477093"/>
    <w:rsid w:val="005B7CCE"/>
    <w:rsid w:val="00625CAF"/>
    <w:rsid w:val="006370DF"/>
    <w:rsid w:val="00715325"/>
    <w:rsid w:val="00787970"/>
    <w:rsid w:val="00867A5F"/>
    <w:rsid w:val="0087280A"/>
    <w:rsid w:val="00A40127"/>
    <w:rsid w:val="00A74194"/>
    <w:rsid w:val="00AC03C6"/>
    <w:rsid w:val="00B83133"/>
    <w:rsid w:val="00C5557E"/>
    <w:rsid w:val="00C646CA"/>
    <w:rsid w:val="00CC79B2"/>
    <w:rsid w:val="00D709E8"/>
    <w:rsid w:val="00E277E3"/>
    <w:rsid w:val="00E3007E"/>
    <w:rsid w:val="00F16500"/>
    <w:rsid w:val="00FC3878"/>
    <w:rsid w:val="00FC4200"/>
    <w:rsid w:val="24AF26DC"/>
    <w:rsid w:val="590A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character" w:styleId="Hyperlink">
    <w:name w:val="Hyperlink"/>
    <w:basedOn w:val="DefaultParagraphFont"/>
    <w:uiPriority w:val="99"/>
    <w:unhideWhenUsed/>
    <w:rsid w:val="000A4BB9"/>
    <w:rPr>
      <w:color w:val="0563C1" w:themeColor="hyperlink"/>
      <w:u w:val="single"/>
    </w:rPr>
  </w:style>
  <w:style w:type="character" w:customStyle="1" w:styleId="UnresolvedMention">
    <w:name w:val="Unresolved Mention"/>
    <w:basedOn w:val="DefaultParagraphFont"/>
    <w:uiPriority w:val="99"/>
    <w:semiHidden/>
    <w:unhideWhenUsed/>
    <w:rsid w:val="000A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846F4-790C-46B9-8504-2EEFFD8666BC}">
  <ds:schemaRefs>
    <ds:schemaRef ds:uri="http://schemas.microsoft.com/sharepoint/v3/contenttype/forms"/>
  </ds:schemaRefs>
</ds:datastoreItem>
</file>

<file path=customXml/itemProps2.xml><?xml version="1.0" encoding="utf-8"?>
<ds:datastoreItem xmlns:ds="http://schemas.openxmlformats.org/officeDocument/2006/customXml" ds:itemID="{82017961-8A30-4040-A6AD-06C6812F1540}">
  <ds:schemaRefs>
    <ds:schemaRef ds:uri="http://www.w3.org/XML/1998/namespace"/>
    <ds:schemaRef ds:uri="http://schemas.microsoft.com/office/2006/documentManagement/types"/>
    <ds:schemaRef ds:uri="http://schemas.openxmlformats.org/package/2006/metadata/core-properties"/>
    <ds:schemaRef ds:uri="503695ed-f6de-4767-af52-1df65692426b"/>
    <ds:schemaRef ds:uri="http://purl.org/dc/terms/"/>
    <ds:schemaRef ds:uri="http://purl.org/dc/elements/1.1/"/>
    <ds:schemaRef ds:uri="http://schemas.microsoft.com/office/infopath/2007/PartnerControls"/>
    <ds:schemaRef ds:uri="c3703092-74e5-4148-9481-13c6876a4c4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623B484-1088-4BFB-929F-F66C8FEB7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95ed-f6de-4767-af52-1df65692426b"/>
    <ds:schemaRef ds:uri="c3703092-74e5-4148-9481-13c6876a4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5</cp:revision>
  <dcterms:created xsi:type="dcterms:W3CDTF">2023-03-15T19:26:00Z</dcterms:created>
  <dcterms:modified xsi:type="dcterms:W3CDTF">2023-03-17T15:10:00Z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