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CB05" w14:textId="77777777" w:rsidR="00634B50" w:rsidRPr="00634B50" w:rsidRDefault="00634B50" w:rsidP="00634B50">
      <w:pPr>
        <w:spacing w:after="0" w:line="240" w:lineRule="auto"/>
        <w:ind w:left="-630" w:right="-630"/>
        <w:rPr>
          <w:rFonts w:ascii="Calibri" w:eastAsia="Calibri" w:hAnsi="Calibri" w:cs="Calibri"/>
          <w:iCs/>
        </w:rPr>
      </w:pPr>
      <w:r w:rsidRPr="00634B50">
        <w:rPr>
          <w:rFonts w:ascii="Calibri" w:eastAsia="Calibri" w:hAnsi="Calibri" w:cs="Calibri"/>
          <w:iCs/>
        </w:rPr>
        <w:t>Office Hours – Wednesdays from 2–4pm or feel free to reach out to Professor McDaniel (</w:t>
      </w:r>
      <w:hyperlink r:id="rId10" w:history="1">
        <w:r w:rsidRPr="00634B50">
          <w:rPr>
            <w:rStyle w:val="Hyperlink"/>
            <w:rFonts w:ascii="Calibri" w:eastAsia="Calibri" w:hAnsi="Calibri" w:cs="Calibri"/>
            <w:iCs/>
          </w:rPr>
          <w:t>jmcdaniel@law.harvard.edu</w:t>
        </w:r>
      </w:hyperlink>
      <w:r w:rsidRPr="00634B50">
        <w:rPr>
          <w:rFonts w:ascii="Calibri" w:eastAsia="Calibri" w:hAnsi="Calibri" w:cs="Calibri"/>
          <w:iCs/>
        </w:rPr>
        <w:t>) to set up a time to visit.</w:t>
      </w:r>
    </w:p>
    <w:p w14:paraId="4D6E930C" w14:textId="77777777" w:rsidR="00634B50" w:rsidRDefault="00634B50"/>
    <w:tbl>
      <w:tblPr>
        <w:tblStyle w:val="TableGrid"/>
        <w:tblW w:w="1053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3410"/>
        <w:gridCol w:w="7120"/>
      </w:tblGrid>
      <w:tr w:rsidR="3BE6A564" w14:paraId="40056C55" w14:textId="77777777" w:rsidTr="00634B50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46184D" w14:textId="38C427FB" w:rsidR="3BE6A564" w:rsidRDefault="3BE6A564" w:rsidP="00645552">
            <w:pPr>
              <w:contextualSpacing/>
            </w:pPr>
            <w:r w:rsidRPr="3BE6A564">
              <w:rPr>
                <w:b/>
                <w:bCs/>
              </w:rPr>
              <w:t>SEMESTER(S) OFFERED</w:t>
            </w:r>
          </w:p>
        </w:tc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F51768" w14:textId="6F5A804C" w:rsidR="3BE6A564" w:rsidRDefault="3BE6A564" w:rsidP="00645552">
            <w:pPr>
              <w:contextualSpacing/>
              <w:rPr>
                <w:b/>
                <w:bCs/>
              </w:rPr>
            </w:pPr>
            <w:r w:rsidRPr="3BE6A564">
              <w:rPr>
                <w:b/>
                <w:bCs/>
              </w:rPr>
              <w:t xml:space="preserve"> </w:t>
            </w:r>
            <w:r w:rsidR="66543C94">
              <w:t xml:space="preserve">Fall </w:t>
            </w:r>
            <w:r w:rsidR="00645552">
              <w:t>or</w:t>
            </w:r>
            <w:r w:rsidR="66543C94">
              <w:t xml:space="preserve"> Spring</w:t>
            </w:r>
          </w:p>
        </w:tc>
      </w:tr>
      <w:tr w:rsidR="3BE6A564" w14:paraId="2B18B859" w14:textId="77777777" w:rsidTr="00634B50">
        <w:trPr>
          <w:trHeight w:val="286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B822B7" w14:textId="6A741022" w:rsidR="3BE6A564" w:rsidRDefault="3BE6A564" w:rsidP="00645552">
            <w:pPr>
              <w:contextualSpacing/>
            </w:pPr>
            <w:r w:rsidRPr="3BE6A564">
              <w:rPr>
                <w:b/>
                <w:bCs/>
              </w:rPr>
              <w:t>CLINICAL COURSE COMPONENT</w:t>
            </w:r>
          </w:p>
        </w:tc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F67226" w14:textId="30D9C154" w:rsidR="3BE6A564" w:rsidRDefault="3BE6A564" w:rsidP="00645552">
            <w:pPr>
              <w:contextualSpacing/>
              <w:rPr>
                <w:b/>
                <w:bCs/>
              </w:rPr>
            </w:pPr>
            <w:r w:rsidRPr="3BE6A564">
              <w:rPr>
                <w:b/>
                <w:bCs/>
              </w:rPr>
              <w:t xml:space="preserve"> </w:t>
            </w:r>
            <w:r w:rsidR="75A9A676">
              <w:t>Religious Freedom Clinical Seminar</w:t>
            </w:r>
          </w:p>
        </w:tc>
      </w:tr>
      <w:tr w:rsidR="3BE6A564" w14:paraId="71357234" w14:textId="77777777" w:rsidTr="00634B50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35636B" w14:textId="11B62DAA" w:rsidR="3BE6A564" w:rsidRDefault="3BE6A564" w:rsidP="00645552">
            <w:pPr>
              <w:contextualSpacing/>
            </w:pPr>
            <w:r w:rsidRPr="3BE6A564">
              <w:rPr>
                <w:b/>
                <w:bCs/>
              </w:rPr>
              <w:t>COURSE CREDITS</w:t>
            </w:r>
          </w:p>
        </w:tc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A6253D" w14:textId="4784646E" w:rsidR="3BE6A564" w:rsidRDefault="3BE6A564" w:rsidP="00645552">
            <w:pPr>
              <w:contextualSpacing/>
            </w:pPr>
            <w:r>
              <w:t xml:space="preserve"> </w:t>
            </w:r>
            <w:r w:rsidR="4FB675FA">
              <w:t>2 classroom credits</w:t>
            </w:r>
          </w:p>
        </w:tc>
      </w:tr>
      <w:tr w:rsidR="3BE6A564" w14:paraId="7C36454C" w14:textId="77777777" w:rsidTr="00634B50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785A2" w14:textId="110F091A" w:rsidR="3BE6A564" w:rsidRDefault="3BE6A564" w:rsidP="00645552">
            <w:pPr>
              <w:contextualSpacing/>
            </w:pPr>
            <w:r w:rsidRPr="3BE6A564">
              <w:rPr>
                <w:b/>
                <w:bCs/>
              </w:rPr>
              <w:t>CLINICAL CREDITS</w:t>
            </w:r>
          </w:p>
        </w:tc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4A03AE" w14:textId="6CD6BD72" w:rsidR="3BE6A564" w:rsidRDefault="3BE6A564" w:rsidP="00645552">
            <w:pPr>
              <w:contextualSpacing/>
            </w:pPr>
            <w:r w:rsidRPr="3BE6A564">
              <w:rPr>
                <w:b/>
                <w:bCs/>
              </w:rPr>
              <w:t xml:space="preserve"> </w:t>
            </w:r>
            <w:r w:rsidR="2609EA44">
              <w:t>3, 4 or 5</w:t>
            </w:r>
            <w:r w:rsidR="00645552">
              <w:t xml:space="preserve"> clinical credits</w:t>
            </w:r>
          </w:p>
        </w:tc>
      </w:tr>
      <w:tr w:rsidR="3BE6A564" w14:paraId="3FEDB166" w14:textId="77777777" w:rsidTr="00634B50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831D14" w14:textId="26376974" w:rsidR="3BE6A564" w:rsidRDefault="3BE6A564" w:rsidP="00645552">
            <w:pPr>
              <w:contextualSpacing/>
            </w:pPr>
            <w:r w:rsidRPr="3BE6A564">
              <w:rPr>
                <w:b/>
                <w:bCs/>
              </w:rPr>
              <w:t>LOCATION</w:t>
            </w:r>
          </w:p>
        </w:tc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5452FF" w14:textId="2933513D" w:rsidR="3BE6A564" w:rsidRDefault="3BE6A564" w:rsidP="00645552">
            <w:pPr>
              <w:contextualSpacing/>
              <w:rPr>
                <w:b/>
                <w:bCs/>
              </w:rPr>
            </w:pPr>
            <w:r w:rsidRPr="3BE6A564">
              <w:rPr>
                <w:b/>
                <w:bCs/>
              </w:rPr>
              <w:t xml:space="preserve"> </w:t>
            </w:r>
            <w:r w:rsidR="773F72F6">
              <w:t>HLS</w:t>
            </w:r>
          </w:p>
        </w:tc>
      </w:tr>
      <w:tr w:rsidR="3BE6A564" w14:paraId="1B7D53B2" w14:textId="77777777" w:rsidTr="00634B50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BD0057" w14:textId="52AEFB35" w:rsidR="3BE6A564" w:rsidRDefault="3BE6A564" w:rsidP="00645552">
            <w:pPr>
              <w:contextualSpacing/>
            </w:pPr>
            <w:r w:rsidRPr="3BE6A564">
              <w:rPr>
                <w:b/>
                <w:bCs/>
              </w:rPr>
              <w:t>REGISTRATION TYPE</w:t>
            </w:r>
          </w:p>
        </w:tc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53D9E0" w14:textId="2FB46F6B" w:rsidR="3BE6A564" w:rsidRDefault="00645552" w:rsidP="00645552">
            <w:pPr>
              <w:contextualSpacing/>
            </w:pPr>
            <w:r>
              <w:t>By Application</w:t>
            </w:r>
            <w:r w:rsidR="00634B50">
              <w:t xml:space="preserve"> (Due May 15, 2023)</w:t>
            </w:r>
            <w:bookmarkStart w:id="0" w:name="_GoBack"/>
            <w:bookmarkEnd w:id="0"/>
          </w:p>
        </w:tc>
      </w:tr>
    </w:tbl>
    <w:p w14:paraId="31D7505E" w14:textId="77777777" w:rsidR="00645552" w:rsidRDefault="0AE2858F" w:rsidP="00645552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3BE6A564">
        <w:rPr>
          <w:rFonts w:ascii="Calibri" w:eastAsia="Calibri" w:hAnsi="Calibri" w:cs="Calibri"/>
          <w:b/>
          <w:bCs/>
        </w:rPr>
        <w:t xml:space="preserve"> </w:t>
      </w:r>
    </w:p>
    <w:p w14:paraId="35C3434A" w14:textId="77777777" w:rsidR="00645552" w:rsidRDefault="106F39EE" w:rsidP="00634B50">
      <w:pPr>
        <w:spacing w:after="0" w:line="240" w:lineRule="auto"/>
        <w:ind w:left="-630" w:right="-630"/>
        <w:contextualSpacing/>
        <w:rPr>
          <w:rFonts w:ascii="Calibri" w:eastAsia="Calibri" w:hAnsi="Calibri" w:cs="Calibri"/>
          <w:b/>
          <w:bCs/>
        </w:rPr>
      </w:pPr>
      <w:r w:rsidRPr="41F13F25">
        <w:rPr>
          <w:rFonts w:ascii="Calibri" w:eastAsia="Calibri" w:hAnsi="Calibri" w:cs="Calibri"/>
          <w:b/>
          <w:bCs/>
        </w:rPr>
        <w:t>TYPES OF CASES/CLIENTS</w:t>
      </w:r>
    </w:p>
    <w:p w14:paraId="6AA99835" w14:textId="4110ADB1" w:rsidR="0009541D" w:rsidRDefault="000310E9" w:rsidP="00634B50">
      <w:pPr>
        <w:spacing w:after="0" w:line="240" w:lineRule="auto"/>
        <w:ind w:left="-630" w:right="-630"/>
        <w:contextualSpacing/>
      </w:pPr>
      <w:r>
        <w:t>R</w:t>
      </w:r>
      <w:r w:rsidR="00DF394F">
        <w:t xml:space="preserve">epresent </w:t>
      </w:r>
      <w:r w:rsidR="00421A44">
        <w:t xml:space="preserve">and advocate for </w:t>
      </w:r>
      <w:r w:rsidR="00E03E80">
        <w:t>people of all faiths facing challenges to the</w:t>
      </w:r>
      <w:r w:rsidR="00421A44">
        <w:t xml:space="preserve"> free exercise of their religious beliefs</w:t>
      </w:r>
      <w:r w:rsidR="00E51E2E">
        <w:t xml:space="preserve">. Clinic work includes </w:t>
      </w:r>
      <w:r w:rsidR="00F61832">
        <w:t>representing</w:t>
      </w:r>
      <w:r w:rsidR="00D838E2">
        <w:t xml:space="preserve"> religious clients at all stages of litigation </w:t>
      </w:r>
      <w:r w:rsidR="00142EEA">
        <w:t>as well as preparing and filing amicus briefs in cases of national importance.</w:t>
      </w:r>
    </w:p>
    <w:p w14:paraId="37E439E4" w14:textId="77777777" w:rsidR="00645552" w:rsidRDefault="00645552" w:rsidP="00634B50">
      <w:pPr>
        <w:spacing w:after="0" w:line="240" w:lineRule="auto"/>
        <w:ind w:left="-630" w:right="-630"/>
        <w:contextualSpacing/>
      </w:pPr>
    </w:p>
    <w:p w14:paraId="4A3F7A01" w14:textId="23ED9B55" w:rsidR="0009541D" w:rsidRDefault="106F39EE" w:rsidP="00634B50">
      <w:pPr>
        <w:spacing w:after="0" w:line="240" w:lineRule="auto"/>
        <w:ind w:left="-630" w:right="-630"/>
        <w:contextualSpacing/>
      </w:pPr>
      <w:r w:rsidRPr="41F13F25">
        <w:rPr>
          <w:rFonts w:ascii="Calibri" w:eastAsia="Calibri" w:hAnsi="Calibri" w:cs="Calibri"/>
          <w:b/>
          <w:bCs/>
        </w:rPr>
        <w:t>SKILLS</w:t>
      </w:r>
    </w:p>
    <w:tbl>
      <w:tblPr>
        <w:tblStyle w:val="TableGrid"/>
        <w:tblW w:w="10530" w:type="dxa"/>
        <w:tblInd w:w="-635" w:type="dxa"/>
        <w:tblLayout w:type="fixed"/>
        <w:tblLook w:val="06A0" w:firstRow="1" w:lastRow="0" w:firstColumn="1" w:lastColumn="0" w:noHBand="1" w:noVBand="1"/>
      </w:tblPr>
      <w:tblGrid>
        <w:gridCol w:w="3120"/>
        <w:gridCol w:w="3810"/>
        <w:gridCol w:w="3600"/>
      </w:tblGrid>
      <w:tr w:rsidR="41F13F25" w14:paraId="226F1C8D" w14:textId="77777777" w:rsidTr="00634B50">
        <w:trPr>
          <w:trHeight w:val="300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262F2E2" w14:textId="1022A391" w:rsidR="41F13F25" w:rsidRDefault="41F13F25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Brief writing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6D61ACA" w14:textId="5AAD586B" w:rsidR="41F13F25" w:rsidRDefault="41F13F25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Appellate litigation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AD83453" w14:textId="5C008866" w:rsidR="41F13F25" w:rsidRDefault="41F13F25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Interviewing clients</w:t>
            </w:r>
          </w:p>
        </w:tc>
      </w:tr>
      <w:tr w:rsidR="41F13F25" w14:paraId="5222E798" w14:textId="77777777" w:rsidTr="00634B50">
        <w:trPr>
          <w:trHeight w:val="300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CF4B500" w14:textId="354E3088" w:rsidR="41F13F25" w:rsidRDefault="41F13F25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Legal research and writing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30361E0" w14:textId="09FAC26B" w:rsidR="41F13F25" w:rsidRDefault="41F13F25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Collaboration with partner organizations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4FD5A96" w14:textId="3D28317F" w:rsidR="41F13F25" w:rsidRDefault="41F13F25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Drafting reports and policy papers</w:t>
            </w:r>
          </w:p>
        </w:tc>
      </w:tr>
      <w:tr w:rsidR="41F13F25" w14:paraId="26AE9370" w14:textId="77777777" w:rsidTr="00634B50">
        <w:trPr>
          <w:trHeight w:val="300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759D0A3" w14:textId="7B0B5074" w:rsidR="41F13F25" w:rsidRDefault="41F13F25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Strategizing cases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B2BCE66" w14:textId="496DB1C4" w:rsidR="41F13F25" w:rsidRDefault="41F13F25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Preparing comments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06AF527" w14:textId="17BE3D9F" w:rsidR="41F13F25" w:rsidRDefault="41F13F25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Oral presentations</w:t>
            </w:r>
          </w:p>
        </w:tc>
      </w:tr>
      <w:tr w:rsidR="007642C3" w14:paraId="18F46B9B" w14:textId="77777777" w:rsidTr="00634B50">
        <w:trPr>
          <w:trHeight w:val="300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4C2CECD" w14:textId="4A307CE8" w:rsidR="007642C3" w:rsidRDefault="007642C3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Fact investigation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A53E3C2" w14:textId="6D5A77E6" w:rsidR="007642C3" w:rsidRDefault="007642C3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Trial preparation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C8732C4" w14:textId="764D199F" w:rsidR="007642C3" w:rsidRDefault="007642C3" w:rsidP="00634B50">
            <w:pPr>
              <w:ind w:left="-20" w:right="-630"/>
              <w:contextualSpacing/>
            </w:pPr>
            <w:r w:rsidRPr="41F13F25">
              <w:rPr>
                <w:rFonts w:ascii="Calibri" w:eastAsia="Calibri" w:hAnsi="Calibri" w:cs="Calibri"/>
              </w:rPr>
              <w:t>Policy and advocacy work</w:t>
            </w:r>
          </w:p>
        </w:tc>
      </w:tr>
    </w:tbl>
    <w:p w14:paraId="50A63CB8" w14:textId="1AC10805" w:rsidR="0009541D" w:rsidRDefault="0009541D" w:rsidP="00634B50">
      <w:pPr>
        <w:spacing w:after="0" w:line="240" w:lineRule="auto"/>
        <w:ind w:left="-630" w:right="-630"/>
        <w:contextualSpacing/>
      </w:pPr>
    </w:p>
    <w:p w14:paraId="580B62EA" w14:textId="0214038B" w:rsidR="0009541D" w:rsidRDefault="106F39EE" w:rsidP="00634B50">
      <w:pPr>
        <w:spacing w:after="0" w:line="240" w:lineRule="auto"/>
        <w:ind w:left="-630" w:right="-630"/>
        <w:contextualSpacing/>
      </w:pPr>
      <w:r w:rsidRPr="41F13F25">
        <w:rPr>
          <w:rFonts w:ascii="Calibri" w:eastAsia="Calibri" w:hAnsi="Calibri" w:cs="Calibri"/>
          <w:b/>
          <w:bCs/>
        </w:rPr>
        <w:t>TYPICAL WORK SCHEDULE</w:t>
      </w:r>
    </w:p>
    <w:p w14:paraId="0411E867" w14:textId="0DE61F7C" w:rsidR="00645552" w:rsidRDefault="00645552" w:rsidP="00634B50">
      <w:pPr>
        <w:spacing w:after="0" w:line="240" w:lineRule="auto"/>
        <w:ind w:left="-630" w:right="-630"/>
        <w:contextualSpacing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8010" w:type="dxa"/>
        <w:jc w:val="center"/>
        <w:tblLayout w:type="fixed"/>
        <w:tblLook w:val="0600" w:firstRow="0" w:lastRow="0" w:firstColumn="0" w:lastColumn="0" w:noHBand="1" w:noVBand="1"/>
      </w:tblPr>
      <w:tblGrid>
        <w:gridCol w:w="4028"/>
        <w:gridCol w:w="3982"/>
      </w:tblGrid>
      <w:tr w:rsidR="00645552" w14:paraId="16EAF538" w14:textId="77777777" w:rsidTr="00645552">
        <w:trPr>
          <w:trHeight w:val="327"/>
          <w:jc w:val="center"/>
        </w:trPr>
        <w:tc>
          <w:tcPr>
            <w:tcW w:w="40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C182A53" w14:textId="77777777" w:rsidR="00645552" w:rsidRPr="00715325" w:rsidRDefault="00645552" w:rsidP="00634B50">
            <w:pPr>
              <w:ind w:left="-63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39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161C7A3C" w14:textId="77777777" w:rsidR="00645552" w:rsidRPr="00715325" w:rsidRDefault="00645552" w:rsidP="00634B50">
            <w:pPr>
              <w:ind w:left="-63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</w:tr>
      <w:tr w:rsidR="00645552" w14:paraId="1C10EC73" w14:textId="77777777" w:rsidTr="00645552">
        <w:trPr>
          <w:trHeight w:val="3486"/>
          <w:jc w:val="center"/>
        </w:trPr>
        <w:tc>
          <w:tcPr>
            <w:tcW w:w="402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ECE2781" w14:textId="7161CFAE" w:rsidR="00645552" w:rsidRPr="00715325" w:rsidRDefault="00645552" w:rsidP="00634B50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9:00 – 9:30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Pr="00645552">
              <w:rPr>
                <w:rFonts w:eastAsia="Raleway" w:cs="Raleway"/>
                <w:color w:val="000000" w:themeColor="text1"/>
                <w:sz w:val="20"/>
              </w:rPr>
              <w:t>Draft agenda for meeting with co-counsel</w:t>
            </w:r>
          </w:p>
          <w:p w14:paraId="55CE689D" w14:textId="2F61D465" w:rsidR="00645552" w:rsidRPr="00715325" w:rsidRDefault="00645552" w:rsidP="00634B50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9:30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- 10:00 am:</w:t>
            </w:r>
            <w:r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Pr="00645552">
              <w:rPr>
                <w:rFonts w:eastAsia="Raleway" w:cs="Raleway"/>
                <w:color w:val="000000" w:themeColor="text1"/>
                <w:sz w:val="20"/>
              </w:rPr>
              <w:t>Meet with student team and supervisors at the clinic office in the WCC clinical wing to prepare for co-counsel call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</w:p>
          <w:p w14:paraId="6A902653" w14:textId="26C6B7FD" w:rsidR="00645552" w:rsidRDefault="00645552" w:rsidP="00634B50">
            <w:pPr>
              <w:rPr>
                <w:rFonts w:eastAsia="Raleway" w:cs="Raleway"/>
                <w:color w:val="000000" w:themeColor="text1"/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10:00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– 10:40 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am:</w:t>
            </w:r>
            <w:r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Pr="00645552">
              <w:rPr>
                <w:rFonts w:eastAsia="Raleway" w:cs="Raleway"/>
                <w:color w:val="000000" w:themeColor="text1"/>
                <w:sz w:val="20"/>
              </w:rPr>
              <w:t>Call with co-counsel to discuss strategy for discovery responses, summary judgment briefing, and upcoming trip to visit incarcerated client who’s seeking a religious accommodation</w:t>
            </w:r>
          </w:p>
          <w:p w14:paraId="28F7F478" w14:textId="4867C3DF" w:rsidR="00645552" w:rsidRPr="00645552" w:rsidRDefault="00645552" w:rsidP="00634B50">
            <w:pPr>
              <w:rPr>
                <w:b/>
                <w:sz w:val="20"/>
              </w:rPr>
            </w:pPr>
            <w:r>
              <w:rPr>
                <w:rFonts w:eastAsia="Raleway" w:cs="Raleway"/>
                <w:b/>
                <w:color w:val="000000" w:themeColor="text1"/>
                <w:sz w:val="20"/>
              </w:rPr>
              <w:t xml:space="preserve">10:40 – 11:00 am: </w:t>
            </w:r>
            <w:r w:rsidRPr="00645552">
              <w:rPr>
                <w:rFonts w:eastAsia="Raleway" w:cs="Raleway"/>
                <w:color w:val="000000" w:themeColor="text1"/>
                <w:sz w:val="20"/>
              </w:rPr>
              <w:t>Meet with student team to debrief, plan next steps to prepare for client interview</w:t>
            </w:r>
          </w:p>
        </w:tc>
        <w:tc>
          <w:tcPr>
            <w:tcW w:w="398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B6A6115" w14:textId="4A43571F" w:rsidR="00645552" w:rsidRPr="00715325" w:rsidRDefault="00645552" w:rsidP="00634B50">
            <w:pPr>
              <w:ind w:right="-1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12:15 – 1:30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 w:rsidRPr="00645552">
              <w:rPr>
                <w:rFonts w:eastAsia="Raleway" w:cs="Raleway"/>
                <w:color w:val="000000" w:themeColor="text1"/>
                <w:sz w:val="20"/>
                <w:szCs w:val="20"/>
              </w:rPr>
              <w:t>Join class for lunch to discuss recent a recent Supreme Court free-exercise decision</w:t>
            </w:r>
          </w:p>
          <w:p w14:paraId="4B1B3307" w14:textId="67E6E383" w:rsidR="00645552" w:rsidRPr="00715325" w:rsidRDefault="00645552" w:rsidP="00634B50">
            <w:pPr>
              <w:ind w:right="-1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2:00 – 3:0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0 pm: </w:t>
            </w:r>
            <w:r w:rsidRPr="00645552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Have some snacks and a beverage while reading for classes in the clinic lounge area</w:t>
            </w:r>
          </w:p>
          <w:p w14:paraId="6D81698F" w14:textId="6C47BE98" w:rsidR="00645552" w:rsidRPr="00715325" w:rsidRDefault="00645552" w:rsidP="00634B50">
            <w:pPr>
              <w:ind w:right="-1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3:00 – 4:30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Pr="00645552">
              <w:rPr>
                <w:rFonts w:eastAsia="Raleway" w:cs="Raleway"/>
                <w:color w:val="000000" w:themeColor="text1"/>
                <w:sz w:val="20"/>
                <w:szCs w:val="20"/>
              </w:rPr>
              <w:t>Plug laptop into docking station at clinic office to do some historical research for a Seventh Circuit amicus brief on the appealability of church autonomy defense rulings</w:t>
            </w:r>
          </w:p>
          <w:p w14:paraId="6C4BB078" w14:textId="66FA6A9D" w:rsidR="00645552" w:rsidRPr="00715325" w:rsidRDefault="00645552" w:rsidP="00634B50">
            <w:pPr>
              <w:ind w:right="-630"/>
              <w:rPr>
                <w:sz w:val="20"/>
              </w:rPr>
            </w:pPr>
          </w:p>
        </w:tc>
      </w:tr>
    </w:tbl>
    <w:p w14:paraId="50529B2F" w14:textId="77777777" w:rsidR="00645552" w:rsidRDefault="00645552" w:rsidP="00634B50">
      <w:pPr>
        <w:spacing w:after="0" w:line="240" w:lineRule="auto"/>
        <w:ind w:left="-630" w:right="-630"/>
        <w:contextualSpacing/>
        <w:rPr>
          <w:rFonts w:ascii="Calibri" w:eastAsia="Calibri" w:hAnsi="Calibri" w:cs="Calibri"/>
          <w:b/>
          <w:bCs/>
        </w:rPr>
      </w:pPr>
    </w:p>
    <w:p w14:paraId="70FC1B3E" w14:textId="77777777" w:rsidR="00645552" w:rsidRDefault="00645552" w:rsidP="00634B50">
      <w:pPr>
        <w:spacing w:after="0" w:line="240" w:lineRule="auto"/>
        <w:ind w:left="-630" w:right="-630"/>
        <w:contextualSpacing/>
        <w:rPr>
          <w:rFonts w:ascii="Calibri" w:eastAsia="Calibri" w:hAnsi="Calibri" w:cs="Calibri"/>
          <w:b/>
          <w:bCs/>
        </w:rPr>
      </w:pPr>
    </w:p>
    <w:p w14:paraId="272A6B8C" w14:textId="77777777" w:rsidR="00645552" w:rsidRPr="00645552" w:rsidRDefault="00645552" w:rsidP="00634B50">
      <w:pPr>
        <w:spacing w:after="0" w:line="240" w:lineRule="auto"/>
        <w:ind w:right="-630"/>
        <w:contextualSpacing/>
      </w:pPr>
    </w:p>
    <w:p w14:paraId="2C078E63" w14:textId="598FB4C0" w:rsidR="0009541D" w:rsidRDefault="0009541D" w:rsidP="00634B50">
      <w:pPr>
        <w:spacing w:after="0" w:line="240" w:lineRule="auto"/>
        <w:ind w:left="-630" w:right="-630"/>
        <w:contextualSpacing/>
      </w:pPr>
    </w:p>
    <w:sectPr w:rsidR="000954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5BE9E" w14:textId="77777777" w:rsidR="003F136E" w:rsidRDefault="003F136E">
      <w:pPr>
        <w:spacing w:after="0" w:line="240" w:lineRule="auto"/>
      </w:pPr>
      <w:r>
        <w:separator/>
      </w:r>
    </w:p>
  </w:endnote>
  <w:endnote w:type="continuationSeparator" w:id="0">
    <w:p w14:paraId="0D9C7224" w14:textId="77777777" w:rsidR="003F136E" w:rsidRDefault="003F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MV Boli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F13F25" w14:paraId="36D02D05" w14:textId="77777777" w:rsidTr="41F13F25">
      <w:trPr>
        <w:trHeight w:val="300"/>
      </w:trPr>
      <w:tc>
        <w:tcPr>
          <w:tcW w:w="3120" w:type="dxa"/>
        </w:tcPr>
        <w:p w14:paraId="108DFDB4" w14:textId="071F2E55" w:rsidR="41F13F25" w:rsidRDefault="41F13F25" w:rsidP="41F13F25">
          <w:pPr>
            <w:pStyle w:val="Header"/>
            <w:ind w:left="-115"/>
          </w:pPr>
        </w:p>
      </w:tc>
      <w:tc>
        <w:tcPr>
          <w:tcW w:w="3120" w:type="dxa"/>
        </w:tcPr>
        <w:p w14:paraId="1A98B048" w14:textId="5627EB14" w:rsidR="41F13F25" w:rsidRDefault="41F13F25" w:rsidP="41F13F25">
          <w:pPr>
            <w:pStyle w:val="Header"/>
            <w:jc w:val="center"/>
          </w:pPr>
        </w:p>
      </w:tc>
      <w:tc>
        <w:tcPr>
          <w:tcW w:w="3120" w:type="dxa"/>
        </w:tcPr>
        <w:p w14:paraId="5CC84187" w14:textId="4D3CD5C8" w:rsidR="41F13F25" w:rsidRDefault="41F13F25" w:rsidP="41F13F25">
          <w:pPr>
            <w:pStyle w:val="Header"/>
            <w:ind w:right="-115"/>
            <w:jc w:val="right"/>
          </w:pPr>
        </w:p>
      </w:tc>
    </w:tr>
  </w:tbl>
  <w:p w14:paraId="48C3E4A9" w14:textId="1225BD5B" w:rsidR="41F13F25" w:rsidRDefault="41F13F25" w:rsidP="41F1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7F342" w14:textId="77777777" w:rsidR="003F136E" w:rsidRDefault="003F136E">
      <w:pPr>
        <w:spacing w:after="0" w:line="240" w:lineRule="auto"/>
      </w:pPr>
      <w:r>
        <w:separator/>
      </w:r>
    </w:p>
  </w:footnote>
  <w:footnote w:type="continuationSeparator" w:id="0">
    <w:p w14:paraId="77B0946F" w14:textId="77777777" w:rsidR="003F136E" w:rsidRDefault="003F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F13F25" w14:paraId="3D151192" w14:textId="77777777" w:rsidTr="3BE6A564">
      <w:trPr>
        <w:trHeight w:val="300"/>
      </w:trPr>
      <w:tc>
        <w:tcPr>
          <w:tcW w:w="3120" w:type="dxa"/>
        </w:tcPr>
        <w:p w14:paraId="6A5E0082" w14:textId="20BF40EA" w:rsidR="41F13F25" w:rsidRDefault="41F13F25" w:rsidP="00236020">
          <w:pPr>
            <w:pStyle w:val="Header"/>
            <w:ind w:left="-115"/>
          </w:pPr>
          <w:r>
            <w:br/>
          </w:r>
        </w:p>
      </w:tc>
      <w:tc>
        <w:tcPr>
          <w:tcW w:w="3120" w:type="dxa"/>
        </w:tcPr>
        <w:p w14:paraId="409B5D6F" w14:textId="1663B682" w:rsidR="41F13F25" w:rsidRDefault="3BE6A564" w:rsidP="0044515B">
          <w:pPr>
            <w:spacing w:after="0" w:line="240" w:lineRule="auto"/>
            <w:jc w:val="center"/>
          </w:pPr>
          <w:r w:rsidRPr="3BE6A564">
            <w:rPr>
              <w:rFonts w:ascii="Calibri" w:eastAsia="Calibri" w:hAnsi="Calibri" w:cs="Calibri"/>
            </w:rPr>
            <w:t>RELIGIOUS FREEDOM CLINIC</w:t>
          </w:r>
          <w:r w:rsidR="41F13F25">
            <w:br/>
          </w:r>
        </w:p>
      </w:tc>
      <w:tc>
        <w:tcPr>
          <w:tcW w:w="3120" w:type="dxa"/>
        </w:tcPr>
        <w:p w14:paraId="797D656D" w14:textId="1B92DA29" w:rsidR="41F13F25" w:rsidRDefault="41F13F25" w:rsidP="00236020">
          <w:pPr>
            <w:pStyle w:val="Header"/>
            <w:ind w:right="-115"/>
            <w:jc w:val="right"/>
          </w:pPr>
        </w:p>
      </w:tc>
    </w:tr>
  </w:tbl>
  <w:p w14:paraId="7E82A3C4" w14:textId="54467DE1" w:rsidR="41F13F25" w:rsidRDefault="41F13F25" w:rsidP="00236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5E81"/>
    <w:multiLevelType w:val="hybridMultilevel"/>
    <w:tmpl w:val="8626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720A"/>
    <w:multiLevelType w:val="hybridMultilevel"/>
    <w:tmpl w:val="B9F0BEFE"/>
    <w:lvl w:ilvl="0" w:tplc="8A5E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C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CA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4D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06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46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EA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E7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E1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3185F4"/>
    <w:rsid w:val="000310E9"/>
    <w:rsid w:val="0009541D"/>
    <w:rsid w:val="00115D55"/>
    <w:rsid w:val="00142EEA"/>
    <w:rsid w:val="001C3FE5"/>
    <w:rsid w:val="001C7665"/>
    <w:rsid w:val="001D3EB2"/>
    <w:rsid w:val="00212CA0"/>
    <w:rsid w:val="00236020"/>
    <w:rsid w:val="00327594"/>
    <w:rsid w:val="003863E2"/>
    <w:rsid w:val="003F136E"/>
    <w:rsid w:val="004178F6"/>
    <w:rsid w:val="00421A44"/>
    <w:rsid w:val="0044515B"/>
    <w:rsid w:val="00465C6F"/>
    <w:rsid w:val="004C7875"/>
    <w:rsid w:val="00532D3A"/>
    <w:rsid w:val="005760E1"/>
    <w:rsid w:val="00586DCD"/>
    <w:rsid w:val="005A6C49"/>
    <w:rsid w:val="00634B50"/>
    <w:rsid w:val="00645552"/>
    <w:rsid w:val="00656B82"/>
    <w:rsid w:val="0072025E"/>
    <w:rsid w:val="00751196"/>
    <w:rsid w:val="007642C3"/>
    <w:rsid w:val="00825960"/>
    <w:rsid w:val="00910B51"/>
    <w:rsid w:val="0094543F"/>
    <w:rsid w:val="009E2C8E"/>
    <w:rsid w:val="00C43A08"/>
    <w:rsid w:val="00C946AE"/>
    <w:rsid w:val="00D221BF"/>
    <w:rsid w:val="00D838E2"/>
    <w:rsid w:val="00DD58A3"/>
    <w:rsid w:val="00DF394F"/>
    <w:rsid w:val="00DF4F59"/>
    <w:rsid w:val="00E03E80"/>
    <w:rsid w:val="00E51E2E"/>
    <w:rsid w:val="00E9322B"/>
    <w:rsid w:val="00ED4C26"/>
    <w:rsid w:val="00F233CB"/>
    <w:rsid w:val="00F61832"/>
    <w:rsid w:val="00F96A1A"/>
    <w:rsid w:val="00FE2971"/>
    <w:rsid w:val="0338F518"/>
    <w:rsid w:val="0AE2858F"/>
    <w:rsid w:val="0E4B5AED"/>
    <w:rsid w:val="106F39EE"/>
    <w:rsid w:val="13C7FF39"/>
    <w:rsid w:val="1500B91B"/>
    <w:rsid w:val="1AF8B11F"/>
    <w:rsid w:val="234A71B8"/>
    <w:rsid w:val="2609EA44"/>
    <w:rsid w:val="2F9D67C4"/>
    <w:rsid w:val="35A650E3"/>
    <w:rsid w:val="365382A0"/>
    <w:rsid w:val="3BE6A564"/>
    <w:rsid w:val="41523B72"/>
    <w:rsid w:val="41F13F25"/>
    <w:rsid w:val="4FB675FA"/>
    <w:rsid w:val="563185F4"/>
    <w:rsid w:val="5B1F462C"/>
    <w:rsid w:val="5BC6F51E"/>
    <w:rsid w:val="5CD6EFE2"/>
    <w:rsid w:val="5FDD54BE"/>
    <w:rsid w:val="6052AF5D"/>
    <w:rsid w:val="66543C94"/>
    <w:rsid w:val="6DCE8F41"/>
    <w:rsid w:val="704F5410"/>
    <w:rsid w:val="75A9A676"/>
    <w:rsid w:val="773F72F6"/>
    <w:rsid w:val="7A0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85F4"/>
  <w15:chartTrackingRefBased/>
  <w15:docId w15:val="{72426C92-7EA2-4F96-B990-AD99C55C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2D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mcdaniel@law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E3247-92B1-4583-A461-8A7CA3F9917A}">
  <ds:schemaRefs>
    <ds:schemaRef ds:uri="http://schemas.microsoft.com/office/2006/documentManagement/types"/>
    <ds:schemaRef ds:uri="c3703092-74e5-4148-9481-13c6876a4c48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503695ed-f6de-4767-af52-1df65692426b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F6F2FC-EF2F-450C-907D-A01D65A2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1A088-42AF-4854-86C5-BE7489EF0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Kagan, Alex</dc:creator>
  <cp:keywords/>
  <dc:description/>
  <cp:lastModifiedBy>Bay, Maggie</cp:lastModifiedBy>
  <cp:revision>3</cp:revision>
  <dcterms:created xsi:type="dcterms:W3CDTF">2023-03-15T17:47:00Z</dcterms:created>
  <dcterms:modified xsi:type="dcterms:W3CDTF">2023-03-17T14:00:00Z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