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635" w:type="dxa"/>
        <w:tblLook w:val="04A0" w:firstRow="1" w:lastRow="0" w:firstColumn="1" w:lastColumn="0" w:noHBand="0" w:noVBand="1"/>
      </w:tblPr>
      <w:tblGrid>
        <w:gridCol w:w="3145"/>
        <w:gridCol w:w="7475"/>
      </w:tblGrid>
      <w:tr w:rsidR="003D7C02" w14:paraId="7D3BFAF1" w14:textId="77777777" w:rsidTr="00C82665">
        <w:tc>
          <w:tcPr>
            <w:tcW w:w="3145" w:type="dxa"/>
          </w:tcPr>
          <w:p w14:paraId="513D5255" w14:textId="77777777" w:rsidR="003D7C02" w:rsidRPr="00C646CA" w:rsidRDefault="003D7C02" w:rsidP="00EE25F6">
            <w:pPr>
              <w:contextualSpacing/>
              <w:rPr>
                <w:b/>
                <w:bCs/>
              </w:rPr>
            </w:pPr>
            <w:r w:rsidRPr="00C646CA">
              <w:rPr>
                <w:b/>
                <w:bCs/>
              </w:rPr>
              <w:t>SEMESTER(S) OFFERED</w:t>
            </w:r>
          </w:p>
        </w:tc>
        <w:tc>
          <w:tcPr>
            <w:tcW w:w="7475" w:type="dxa"/>
          </w:tcPr>
          <w:p w14:paraId="388C6643" w14:textId="5DAE4D97" w:rsidR="003D7C02" w:rsidRPr="003D7C02" w:rsidRDefault="003D7C02" w:rsidP="00EE25F6">
            <w:pPr>
              <w:contextualSpacing/>
            </w:pPr>
            <w:r w:rsidRPr="003D7C02">
              <w:t>Fall or Spring</w:t>
            </w:r>
          </w:p>
        </w:tc>
      </w:tr>
      <w:tr w:rsidR="003D7C02" w14:paraId="1F3E6BC8" w14:textId="77777777" w:rsidTr="00C82665">
        <w:tc>
          <w:tcPr>
            <w:tcW w:w="3145" w:type="dxa"/>
          </w:tcPr>
          <w:p w14:paraId="68320E45" w14:textId="6DFF211F" w:rsidR="003D7C02" w:rsidRPr="00C646CA" w:rsidRDefault="003D7C02" w:rsidP="00EE25F6">
            <w:pPr>
              <w:contextualSpacing/>
              <w:rPr>
                <w:b/>
                <w:bCs/>
              </w:rPr>
            </w:pPr>
            <w:r w:rsidRPr="00C646CA">
              <w:rPr>
                <w:b/>
                <w:bCs/>
              </w:rPr>
              <w:t>CLINICAL COURSE COMPONENT</w:t>
            </w:r>
          </w:p>
        </w:tc>
        <w:tc>
          <w:tcPr>
            <w:tcW w:w="7475" w:type="dxa"/>
          </w:tcPr>
          <w:p w14:paraId="31874C74" w14:textId="77777777" w:rsidR="003D7C02" w:rsidRPr="003D7C02" w:rsidRDefault="003D7C02" w:rsidP="00EE25F6">
            <w:pPr>
              <w:contextualSpacing/>
            </w:pPr>
            <w:r w:rsidRPr="003D7C02">
              <w:t>Employment Law Workshop: Advocacy Skills (Fall)</w:t>
            </w:r>
          </w:p>
          <w:p w14:paraId="635A6E18" w14:textId="7A4D8A7D" w:rsidR="003D7C02" w:rsidRPr="003D7C02" w:rsidRDefault="003D7C02" w:rsidP="00EE25F6">
            <w:pPr>
              <w:contextualSpacing/>
            </w:pPr>
            <w:r w:rsidRPr="003D7C02">
              <w:t>Employment Law Workshop: Strategies for Social Change (Spring)</w:t>
            </w:r>
          </w:p>
        </w:tc>
      </w:tr>
      <w:tr w:rsidR="003D7C02" w14:paraId="23C3771D" w14:textId="77777777" w:rsidTr="00C82665">
        <w:tc>
          <w:tcPr>
            <w:tcW w:w="3145" w:type="dxa"/>
          </w:tcPr>
          <w:p w14:paraId="38B9A210" w14:textId="77777777" w:rsidR="003D7C02" w:rsidRPr="00C646CA" w:rsidRDefault="003D7C02" w:rsidP="00EE25F6">
            <w:pPr>
              <w:contextualSpacing/>
              <w:rPr>
                <w:b/>
                <w:bCs/>
              </w:rPr>
            </w:pPr>
            <w:r w:rsidRPr="00C646CA">
              <w:rPr>
                <w:b/>
                <w:bCs/>
              </w:rPr>
              <w:t>COURSE CREDITS</w:t>
            </w:r>
          </w:p>
        </w:tc>
        <w:tc>
          <w:tcPr>
            <w:tcW w:w="7475" w:type="dxa"/>
          </w:tcPr>
          <w:p w14:paraId="448B0173" w14:textId="6F10DD1F" w:rsidR="003D7C02" w:rsidRPr="003D7C02" w:rsidRDefault="003D7C02" w:rsidP="00EE25F6">
            <w:pPr>
              <w:contextualSpacing/>
            </w:pPr>
            <w:r w:rsidRPr="003D7C02">
              <w:t>2 classroom credits</w:t>
            </w:r>
          </w:p>
        </w:tc>
      </w:tr>
      <w:tr w:rsidR="003D7C02" w14:paraId="60A6B4DA" w14:textId="77777777" w:rsidTr="00C82665">
        <w:tc>
          <w:tcPr>
            <w:tcW w:w="3145" w:type="dxa"/>
          </w:tcPr>
          <w:p w14:paraId="1CBD6150" w14:textId="77777777" w:rsidR="003D7C02" w:rsidRPr="00C646CA" w:rsidRDefault="003D7C02" w:rsidP="00EE25F6">
            <w:pPr>
              <w:contextualSpacing/>
              <w:rPr>
                <w:b/>
                <w:bCs/>
              </w:rPr>
            </w:pPr>
            <w:r w:rsidRPr="00C646CA">
              <w:rPr>
                <w:b/>
                <w:bCs/>
              </w:rPr>
              <w:t>CLINICAL CREDIT</w:t>
            </w:r>
            <w:r>
              <w:rPr>
                <w:b/>
                <w:bCs/>
              </w:rPr>
              <w:t>S</w:t>
            </w:r>
          </w:p>
        </w:tc>
        <w:tc>
          <w:tcPr>
            <w:tcW w:w="7475" w:type="dxa"/>
          </w:tcPr>
          <w:p w14:paraId="284B025F" w14:textId="246E1BA0" w:rsidR="003D7C02" w:rsidRPr="003D7C02" w:rsidRDefault="003D7C02" w:rsidP="00EE25F6">
            <w:pPr>
              <w:contextualSpacing/>
            </w:pPr>
            <w:r w:rsidRPr="003D7C02">
              <w:t>3, 4 or 5</w:t>
            </w:r>
            <w:r w:rsidR="00691935">
              <w:t xml:space="preserve"> clinical credits</w:t>
            </w:r>
          </w:p>
        </w:tc>
      </w:tr>
      <w:tr w:rsidR="003D7C02" w14:paraId="43FCA318" w14:textId="77777777" w:rsidTr="00C82665">
        <w:tc>
          <w:tcPr>
            <w:tcW w:w="3145" w:type="dxa"/>
          </w:tcPr>
          <w:p w14:paraId="7674EDD4" w14:textId="77777777" w:rsidR="003D7C02" w:rsidRPr="00C646CA" w:rsidRDefault="003D7C02" w:rsidP="00EE25F6">
            <w:pPr>
              <w:contextualSpacing/>
              <w:rPr>
                <w:b/>
                <w:bCs/>
              </w:rPr>
            </w:pPr>
            <w:r>
              <w:rPr>
                <w:b/>
                <w:bCs/>
              </w:rPr>
              <w:t>LOCATION</w:t>
            </w:r>
          </w:p>
        </w:tc>
        <w:tc>
          <w:tcPr>
            <w:tcW w:w="7475" w:type="dxa"/>
          </w:tcPr>
          <w:p w14:paraId="7ED4C7A9" w14:textId="0D1B8ECD" w:rsidR="003D7C02" w:rsidRPr="003D7C02" w:rsidRDefault="003D7C02" w:rsidP="00C82665">
            <w:pPr>
              <w:contextualSpacing/>
            </w:pPr>
            <w:r w:rsidRPr="003D7C02">
              <w:t xml:space="preserve">Various external </w:t>
            </w:r>
            <w:r w:rsidR="00C82665">
              <w:t>organizations</w:t>
            </w:r>
          </w:p>
        </w:tc>
      </w:tr>
      <w:tr w:rsidR="003D7C02" w14:paraId="1E4812A6" w14:textId="77777777" w:rsidTr="00C82665">
        <w:tc>
          <w:tcPr>
            <w:tcW w:w="3145" w:type="dxa"/>
          </w:tcPr>
          <w:p w14:paraId="4E099D92" w14:textId="77777777" w:rsidR="003D7C02" w:rsidRPr="00C646CA" w:rsidRDefault="003D7C02" w:rsidP="00EE25F6">
            <w:pPr>
              <w:contextualSpacing/>
              <w:rPr>
                <w:b/>
                <w:bCs/>
              </w:rPr>
            </w:pPr>
            <w:r w:rsidRPr="00C646CA">
              <w:rPr>
                <w:b/>
                <w:bCs/>
              </w:rPr>
              <w:t>REGISTRATION TYPE</w:t>
            </w:r>
          </w:p>
        </w:tc>
        <w:tc>
          <w:tcPr>
            <w:tcW w:w="7475" w:type="dxa"/>
          </w:tcPr>
          <w:p w14:paraId="61EEB950" w14:textId="2383A693" w:rsidR="003D7C02" w:rsidRPr="003D7C02" w:rsidRDefault="003D7C02" w:rsidP="00EE25F6">
            <w:pPr>
              <w:contextualSpacing/>
            </w:pPr>
            <w:r w:rsidRPr="003D7C02">
              <w:t>Helios</w:t>
            </w:r>
          </w:p>
        </w:tc>
      </w:tr>
    </w:tbl>
    <w:p w14:paraId="66C1C17D" w14:textId="77777777" w:rsidR="00715325" w:rsidRDefault="00715325" w:rsidP="00C82665">
      <w:pPr>
        <w:spacing w:after="0" w:line="240" w:lineRule="auto"/>
        <w:ind w:left="-630" w:right="-630"/>
        <w:contextualSpacing/>
        <w:rPr>
          <w:b/>
        </w:rPr>
      </w:pPr>
    </w:p>
    <w:p w14:paraId="5429ADE5" w14:textId="31B48E16" w:rsidR="001A58CD" w:rsidRPr="00787970" w:rsidRDefault="001A58CD" w:rsidP="00C82665">
      <w:pPr>
        <w:spacing w:after="0" w:line="240" w:lineRule="auto"/>
        <w:ind w:left="-630" w:right="-630"/>
        <w:contextualSpacing/>
        <w:rPr>
          <w:b/>
        </w:rPr>
      </w:pPr>
      <w:r w:rsidRPr="00787970">
        <w:rPr>
          <w:b/>
        </w:rPr>
        <w:t xml:space="preserve">TYPES OF </w:t>
      </w:r>
      <w:r w:rsidR="00C82665">
        <w:rPr>
          <w:b/>
        </w:rPr>
        <w:t>PLACEMENTS</w:t>
      </w:r>
    </w:p>
    <w:p w14:paraId="0944C118" w14:textId="27B5AE3E" w:rsidR="00C82665" w:rsidRDefault="00CC1554" w:rsidP="00C82665">
      <w:pPr>
        <w:spacing w:after="0" w:line="240" w:lineRule="auto"/>
        <w:ind w:left="-630" w:right="-630"/>
        <w:contextualSpacing/>
      </w:pPr>
      <w:r>
        <w:t xml:space="preserve">Students </w:t>
      </w:r>
      <w:r w:rsidR="00C82665">
        <w:t>work at</w:t>
      </w:r>
      <w:r>
        <w:t xml:space="preserve"> external organizations that focus</w:t>
      </w:r>
      <w:r w:rsidR="00561F3B">
        <w:t xml:space="preserve"> on or address</w:t>
      </w:r>
      <w:r>
        <w:t xml:space="preserve"> employment law issues, including</w:t>
      </w:r>
      <w:r w:rsidR="00C82665">
        <w:t>:</w:t>
      </w:r>
    </w:p>
    <w:p w14:paraId="590D27D3" w14:textId="18053C97" w:rsidR="00C82665" w:rsidRDefault="00CC1554" w:rsidP="00C82665">
      <w:pPr>
        <w:pStyle w:val="ListParagraph"/>
        <w:numPr>
          <w:ilvl w:val="0"/>
          <w:numId w:val="1"/>
        </w:numPr>
        <w:spacing w:after="0" w:line="240" w:lineRule="auto"/>
        <w:ind w:right="-630"/>
      </w:pPr>
      <w:r>
        <w:t>Employment Unit at</w:t>
      </w:r>
      <w:r w:rsidR="00C82665">
        <w:t xml:space="preserve"> Greater Boston Legal Services (GBLS)</w:t>
      </w:r>
    </w:p>
    <w:p w14:paraId="5007957E" w14:textId="76523DC5" w:rsidR="00C82665" w:rsidRDefault="00CC1554" w:rsidP="00C82665">
      <w:pPr>
        <w:pStyle w:val="ListParagraph"/>
        <w:numPr>
          <w:ilvl w:val="0"/>
          <w:numId w:val="1"/>
        </w:numPr>
        <w:spacing w:after="0" w:line="240" w:lineRule="auto"/>
        <w:ind w:right="-630"/>
      </w:pPr>
      <w:r>
        <w:t>Lawyers for</w:t>
      </w:r>
      <w:r w:rsidR="00C82665">
        <w:t xml:space="preserve"> Civil Rights</w:t>
      </w:r>
    </w:p>
    <w:p w14:paraId="48C09DE9" w14:textId="2DF0E3A6" w:rsidR="00C82665" w:rsidRDefault="00CC1554" w:rsidP="00C82665">
      <w:pPr>
        <w:pStyle w:val="ListParagraph"/>
        <w:numPr>
          <w:ilvl w:val="0"/>
          <w:numId w:val="1"/>
        </w:numPr>
        <w:spacing w:after="0" w:line="240" w:lineRule="auto"/>
        <w:ind w:right="-630"/>
      </w:pPr>
      <w:r>
        <w:t>Gay &amp;</w:t>
      </w:r>
      <w:r w:rsidR="00C82665">
        <w:t xml:space="preserve"> Lesbian Advocates &amp; Defenders (GLAD)</w:t>
      </w:r>
    </w:p>
    <w:p w14:paraId="07572F80" w14:textId="72BAE045" w:rsidR="00C82665" w:rsidRDefault="00C82665" w:rsidP="00C82665">
      <w:pPr>
        <w:pStyle w:val="ListParagraph"/>
        <w:numPr>
          <w:ilvl w:val="0"/>
          <w:numId w:val="1"/>
        </w:numPr>
        <w:spacing w:after="0" w:line="240" w:lineRule="auto"/>
        <w:ind w:right="-630"/>
      </w:pPr>
      <w:r>
        <w:t>Justice at Work</w:t>
      </w:r>
    </w:p>
    <w:p w14:paraId="63DDE648" w14:textId="501D87A7" w:rsidR="00C82665" w:rsidRDefault="00CC1554" w:rsidP="00C82665">
      <w:pPr>
        <w:pStyle w:val="ListParagraph"/>
        <w:numPr>
          <w:ilvl w:val="0"/>
          <w:numId w:val="1"/>
        </w:numPr>
        <w:spacing w:after="0" w:line="240" w:lineRule="auto"/>
        <w:ind w:right="-630"/>
      </w:pPr>
      <w:r>
        <w:t>Massachusetts Com</w:t>
      </w:r>
      <w:r w:rsidR="00C82665">
        <w:t>mission Against Discrimination</w:t>
      </w:r>
    </w:p>
    <w:p w14:paraId="4FCB5E37" w14:textId="5771C030" w:rsidR="00C82665" w:rsidRDefault="00CC1554" w:rsidP="00C82665">
      <w:pPr>
        <w:pStyle w:val="ListParagraph"/>
        <w:numPr>
          <w:ilvl w:val="0"/>
          <w:numId w:val="1"/>
        </w:numPr>
        <w:spacing w:after="0" w:line="240" w:lineRule="auto"/>
        <w:ind w:right="-630"/>
      </w:pPr>
      <w:r>
        <w:t>Fair Labor Division of Massachus</w:t>
      </w:r>
      <w:r w:rsidR="00C82665">
        <w:t>etts Attorney General’s Office</w:t>
      </w:r>
    </w:p>
    <w:p w14:paraId="019FE3F7" w14:textId="1100E845" w:rsidR="00C82665" w:rsidRDefault="00CC1554" w:rsidP="00C82665">
      <w:pPr>
        <w:pStyle w:val="ListParagraph"/>
        <w:numPr>
          <w:ilvl w:val="0"/>
          <w:numId w:val="1"/>
        </w:numPr>
        <w:spacing w:after="0" w:line="240" w:lineRule="auto"/>
        <w:ind w:right="-630"/>
      </w:pPr>
      <w:r>
        <w:t>U.S. Equal Emp</w:t>
      </w:r>
      <w:r w:rsidR="00C82665">
        <w:t>loyment Opportunity Commission (EEOC)</w:t>
      </w:r>
    </w:p>
    <w:p w14:paraId="08B6D83A" w14:textId="33A865F0" w:rsidR="00C82665" w:rsidRDefault="00CC1554" w:rsidP="00C82665">
      <w:pPr>
        <w:pStyle w:val="ListParagraph"/>
        <w:numPr>
          <w:ilvl w:val="0"/>
          <w:numId w:val="1"/>
        </w:numPr>
        <w:spacing w:after="0" w:line="240" w:lineRule="auto"/>
        <w:ind w:right="-630"/>
      </w:pPr>
      <w:r>
        <w:t>Massachusetts Commission Aga</w:t>
      </w:r>
      <w:r w:rsidR="00C82665">
        <w:t>inst Discrimination (MCAD)</w:t>
      </w:r>
    </w:p>
    <w:p w14:paraId="1D6A65A7" w14:textId="6F051D32" w:rsidR="00C82665" w:rsidRDefault="00C82665" w:rsidP="00C82665">
      <w:pPr>
        <w:pStyle w:val="ListParagraph"/>
        <w:numPr>
          <w:ilvl w:val="0"/>
          <w:numId w:val="1"/>
        </w:numPr>
        <w:spacing w:after="0" w:line="240" w:lineRule="auto"/>
        <w:ind w:right="-630"/>
      </w:pPr>
      <w:r>
        <w:t>Administrative judges</w:t>
      </w:r>
    </w:p>
    <w:p w14:paraId="05591142" w14:textId="06E717BE" w:rsidR="00CC1554" w:rsidRDefault="00C82665" w:rsidP="00C82665">
      <w:pPr>
        <w:pStyle w:val="ListParagraph"/>
        <w:numPr>
          <w:ilvl w:val="0"/>
          <w:numId w:val="1"/>
        </w:numPr>
        <w:spacing w:after="0" w:line="240" w:lineRule="auto"/>
        <w:ind w:right="-630"/>
      </w:pPr>
      <w:r>
        <w:t>Private</w:t>
      </w:r>
      <w:r w:rsidR="00CC1554">
        <w:t xml:space="preserve"> firms</w:t>
      </w:r>
      <w:r w:rsidR="00561F3B">
        <w:t xml:space="preserve"> (such as Lichten &amp; Liss-Riordan or Zalkind Duncan &amp; Bernstein)</w:t>
      </w:r>
    </w:p>
    <w:p w14:paraId="58664A6A" w14:textId="77777777" w:rsidR="00F16500" w:rsidRDefault="00F16500" w:rsidP="00C82665">
      <w:pPr>
        <w:spacing w:after="0" w:line="240" w:lineRule="auto"/>
        <w:ind w:left="-630" w:right="-630"/>
        <w:contextualSpacing/>
      </w:pPr>
    </w:p>
    <w:p w14:paraId="2815D9E4" w14:textId="670146A2" w:rsidR="001A58CD" w:rsidRPr="00787970" w:rsidRDefault="001A58CD" w:rsidP="00C82665">
      <w:pPr>
        <w:spacing w:after="0" w:line="240" w:lineRule="auto"/>
        <w:ind w:left="-630" w:right="-630"/>
        <w:contextualSpacing/>
        <w:rPr>
          <w:b/>
        </w:rPr>
      </w:pPr>
      <w:r w:rsidRPr="00787970">
        <w:rPr>
          <w:b/>
        </w:rPr>
        <w:t>SKILLS</w:t>
      </w:r>
    </w:p>
    <w:p w14:paraId="25011E48" w14:textId="63C71067" w:rsidR="00CC1554" w:rsidRDefault="00CC1554" w:rsidP="00C82665">
      <w:pPr>
        <w:spacing w:after="0" w:line="240" w:lineRule="auto"/>
        <w:ind w:left="-630" w:right="-630"/>
        <w:contextualSpacing/>
      </w:pPr>
      <w:r>
        <w:t>Students have varied opportunities, depending on their placement and on the current cases or initiatives at the placement organization. In recent years, students have drafted research memoranda on a wide variety of topics; interviewed clients; observed depositions, hearings, or trials; participated in strategy meetings with attorneys or other advocates; drafted briefs, decisions, or proposed legislation; attended community events;</w:t>
      </w:r>
      <w:r w:rsidR="00561F3B">
        <w:t xml:space="preserve"> conducted factual investigations; reviewed and evaluated evidence;</w:t>
      </w:r>
      <w:r>
        <w:t xml:space="preserve"> </w:t>
      </w:r>
      <w:r w:rsidR="00561F3B">
        <w:t xml:space="preserve">and </w:t>
      </w:r>
      <w:r>
        <w:t>made recommendations</w:t>
      </w:r>
      <w:r w:rsidR="00561F3B">
        <w:t xml:space="preserve"> to </w:t>
      </w:r>
      <w:r w:rsidR="00C82665">
        <w:t>decision makers</w:t>
      </w:r>
      <w:r>
        <w:t>.</w:t>
      </w:r>
    </w:p>
    <w:p w14:paraId="789D8280" w14:textId="047E499A" w:rsidR="001A58CD" w:rsidRDefault="001A58CD" w:rsidP="00C82665">
      <w:pPr>
        <w:spacing w:after="0" w:line="240" w:lineRule="auto"/>
        <w:ind w:left="-630" w:right="-630"/>
        <w:contextualSpacing/>
      </w:pPr>
    </w:p>
    <w:p w14:paraId="7BDA3F88" w14:textId="498D7FB5" w:rsidR="001A58CD" w:rsidRPr="00787970" w:rsidRDefault="001A58CD" w:rsidP="00C82665">
      <w:pPr>
        <w:spacing w:after="0" w:line="240" w:lineRule="auto"/>
        <w:ind w:left="-630" w:right="-630"/>
        <w:contextualSpacing/>
        <w:rPr>
          <w:b/>
        </w:rPr>
      </w:pPr>
      <w:r w:rsidRPr="00787970">
        <w:rPr>
          <w:b/>
        </w:rPr>
        <w:t>TYPICAL WORK SCHEDULE</w:t>
      </w:r>
    </w:p>
    <w:p w14:paraId="45303149" w14:textId="7D88385E" w:rsidR="00CC1554" w:rsidRDefault="00CC1554" w:rsidP="00C82665">
      <w:pPr>
        <w:spacing w:after="0" w:line="240" w:lineRule="auto"/>
        <w:ind w:left="-630" w:right="-630"/>
        <w:contextualSpacing/>
      </w:pPr>
      <w:r>
        <w:t xml:space="preserve">The typical work schedule for students </w:t>
      </w:r>
      <w:r w:rsidR="00561F3B">
        <w:t>varies</w:t>
      </w:r>
      <w:r>
        <w:t xml:space="preserve"> widely based on their placement and specific assignments. Some students may arrive at their placement, meet with their supervisor, and then work independently for the rest of the day doing research and writing. Others may get settled at work, then sit in on a deposition and take notes for a later discussion with an attorney. Another student may attend a staff meeting and</w:t>
      </w:r>
      <w:r w:rsidR="00561F3B">
        <w:t xml:space="preserve"> then review case files to make recommendations about next steps. A different student may be assigned to field calls from potential clients, writing up their notes and evaluating possible causes of action. Students are encouraged to talk with their supervisors about specific interests or to identify opportunities for diverse assignments.</w:t>
      </w:r>
    </w:p>
    <w:p w14:paraId="6E5FF161" w14:textId="77777777" w:rsidR="00CC1554" w:rsidRDefault="00CC1554" w:rsidP="00C82665">
      <w:pPr>
        <w:spacing w:after="0" w:line="240" w:lineRule="auto"/>
        <w:ind w:left="-630" w:right="-630"/>
        <w:contextualSpacing/>
      </w:pPr>
    </w:p>
    <w:p w14:paraId="10581A4C" w14:textId="24A604F6" w:rsidR="00561F3B" w:rsidRDefault="00561F3B" w:rsidP="00C82665">
      <w:pPr>
        <w:spacing w:after="0" w:line="240" w:lineRule="auto"/>
        <w:ind w:right="-630"/>
        <w:contextualSpacing/>
      </w:pPr>
      <w:bookmarkStart w:id="0" w:name="_GoBack"/>
      <w:bookmarkEnd w:id="0"/>
    </w:p>
    <w:sectPr w:rsidR="00561F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31E76" w14:textId="77777777" w:rsidR="00433EB5" w:rsidRDefault="00433EB5" w:rsidP="00787970">
      <w:pPr>
        <w:spacing w:after="0" w:line="240" w:lineRule="auto"/>
      </w:pPr>
      <w:r>
        <w:separator/>
      </w:r>
    </w:p>
  </w:endnote>
  <w:endnote w:type="continuationSeparator" w:id="0">
    <w:p w14:paraId="1ABE8B1F" w14:textId="77777777" w:rsidR="00433EB5" w:rsidRDefault="00433EB5" w:rsidP="0078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CDEBC" w14:textId="77777777" w:rsidR="00433EB5" w:rsidRDefault="00433EB5" w:rsidP="00787970">
      <w:pPr>
        <w:spacing w:after="0" w:line="240" w:lineRule="auto"/>
      </w:pPr>
      <w:r>
        <w:separator/>
      </w:r>
    </w:p>
  </w:footnote>
  <w:footnote w:type="continuationSeparator" w:id="0">
    <w:p w14:paraId="27D3AD8D" w14:textId="77777777" w:rsidR="00433EB5" w:rsidRDefault="00433EB5" w:rsidP="0078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5DE1" w14:textId="2D212AA6" w:rsidR="590A8C28" w:rsidRDefault="00CC1554" w:rsidP="003D7C02">
    <w:pPr>
      <w:spacing w:after="0" w:line="240" w:lineRule="auto"/>
      <w:contextualSpacing/>
      <w:jc w:val="center"/>
    </w:pPr>
    <w:r>
      <w:t>EMPLOYMENT LAW CLINIC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5F51"/>
    <w:multiLevelType w:val="hybridMultilevel"/>
    <w:tmpl w:val="DE1EC13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E8"/>
    <w:rsid w:val="001A58CD"/>
    <w:rsid w:val="003D7C02"/>
    <w:rsid w:val="00433EB5"/>
    <w:rsid w:val="00561F3B"/>
    <w:rsid w:val="005B7CCE"/>
    <w:rsid w:val="00691935"/>
    <w:rsid w:val="00715325"/>
    <w:rsid w:val="00787970"/>
    <w:rsid w:val="00857F9C"/>
    <w:rsid w:val="0087280A"/>
    <w:rsid w:val="009E3310"/>
    <w:rsid w:val="00A74194"/>
    <w:rsid w:val="00BB550C"/>
    <w:rsid w:val="00C82665"/>
    <w:rsid w:val="00CC1554"/>
    <w:rsid w:val="00D709E8"/>
    <w:rsid w:val="00E3007E"/>
    <w:rsid w:val="00F16500"/>
    <w:rsid w:val="00FC4200"/>
    <w:rsid w:val="24AF26DC"/>
    <w:rsid w:val="590A8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4C08"/>
  <w15:chartTrackingRefBased/>
  <w15:docId w15:val="{D73F85F7-0864-4DBB-9D49-AD54007C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70"/>
  </w:style>
  <w:style w:type="paragraph" w:styleId="Footer">
    <w:name w:val="footer"/>
    <w:basedOn w:val="Normal"/>
    <w:link w:val="FooterChar"/>
    <w:uiPriority w:val="99"/>
    <w:unhideWhenUsed/>
    <w:rsid w:val="0078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70"/>
  </w:style>
  <w:style w:type="paragraph" w:styleId="ListParagraph">
    <w:name w:val="List Paragraph"/>
    <w:basedOn w:val="Normal"/>
    <w:uiPriority w:val="34"/>
    <w:qFormat/>
    <w:rsid w:val="00C8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7723">
      <w:bodyDiv w:val="1"/>
      <w:marLeft w:val="0"/>
      <w:marRight w:val="0"/>
      <w:marTop w:val="0"/>
      <w:marBottom w:val="0"/>
      <w:divBdr>
        <w:top w:val="none" w:sz="0" w:space="0" w:color="auto"/>
        <w:left w:val="none" w:sz="0" w:space="0" w:color="auto"/>
        <w:bottom w:val="none" w:sz="0" w:space="0" w:color="auto"/>
        <w:right w:val="none" w:sz="0" w:space="0" w:color="auto"/>
      </w:divBdr>
      <w:divsChild>
        <w:div w:id="1818062440">
          <w:marLeft w:val="0"/>
          <w:marRight w:val="0"/>
          <w:marTop w:val="0"/>
          <w:marBottom w:val="0"/>
          <w:divBdr>
            <w:top w:val="none" w:sz="0" w:space="0" w:color="auto"/>
            <w:left w:val="none" w:sz="0" w:space="0" w:color="auto"/>
            <w:bottom w:val="none" w:sz="0" w:space="0" w:color="auto"/>
            <w:right w:val="none" w:sz="0" w:space="0" w:color="auto"/>
          </w:divBdr>
        </w:div>
      </w:divsChild>
    </w:div>
    <w:div w:id="1402681389">
      <w:bodyDiv w:val="1"/>
      <w:marLeft w:val="0"/>
      <w:marRight w:val="0"/>
      <w:marTop w:val="0"/>
      <w:marBottom w:val="0"/>
      <w:divBdr>
        <w:top w:val="none" w:sz="0" w:space="0" w:color="auto"/>
        <w:left w:val="none" w:sz="0" w:space="0" w:color="auto"/>
        <w:bottom w:val="none" w:sz="0" w:space="0" w:color="auto"/>
        <w:right w:val="none" w:sz="0" w:space="0" w:color="auto"/>
      </w:divBdr>
      <w:divsChild>
        <w:div w:id="460074396">
          <w:marLeft w:val="0"/>
          <w:marRight w:val="0"/>
          <w:marTop w:val="0"/>
          <w:marBottom w:val="0"/>
          <w:divBdr>
            <w:top w:val="none" w:sz="0" w:space="0" w:color="auto"/>
            <w:left w:val="none" w:sz="0" w:space="0" w:color="auto"/>
            <w:bottom w:val="none" w:sz="0" w:space="0" w:color="auto"/>
            <w:right w:val="none" w:sz="0" w:space="0" w:color="auto"/>
          </w:divBdr>
        </w:div>
      </w:divsChild>
    </w:div>
    <w:div w:id="1621573364">
      <w:bodyDiv w:val="1"/>
      <w:marLeft w:val="0"/>
      <w:marRight w:val="0"/>
      <w:marTop w:val="0"/>
      <w:marBottom w:val="0"/>
      <w:divBdr>
        <w:top w:val="none" w:sz="0" w:space="0" w:color="auto"/>
        <w:left w:val="none" w:sz="0" w:space="0" w:color="auto"/>
        <w:bottom w:val="none" w:sz="0" w:space="0" w:color="auto"/>
        <w:right w:val="none" w:sz="0" w:space="0" w:color="auto"/>
      </w:divBdr>
      <w:divsChild>
        <w:div w:id="206551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3703092-74e5-4148-9481-13c6876a4c48" xsi:nil="true"/>
    <lcf76f155ced4ddcb4097134ff3c332f xmlns="503695ed-f6de-4767-af52-1df6569242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8AD2A824334E4982171CD9396D59A5" ma:contentTypeVersion="15" ma:contentTypeDescription="Create a new document." ma:contentTypeScope="" ma:versionID="8fb75f198911577cad0cf9b70d67bccb">
  <xsd:schema xmlns:xsd="http://www.w3.org/2001/XMLSchema" xmlns:xs="http://www.w3.org/2001/XMLSchema" xmlns:p="http://schemas.microsoft.com/office/2006/metadata/properties" xmlns:ns2="503695ed-f6de-4767-af52-1df65692426b" xmlns:ns3="c3703092-74e5-4148-9481-13c6876a4c48" targetNamespace="http://schemas.microsoft.com/office/2006/metadata/properties" ma:root="true" ma:fieldsID="8b600e8b930457b7b039e21c1916b7d6" ns2:_="" ns3:_="">
    <xsd:import namespace="503695ed-f6de-4767-af52-1df65692426b"/>
    <xsd:import namespace="c3703092-74e5-4148-9481-13c6876a4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95ed-f6de-4767-af52-1df656924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03092-74e5-4148-9481-13c6876a4c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5b01d-97eb-40ef-98ca-68d5493a6a2c}" ma:internalName="TaxCatchAll" ma:showField="CatchAllData" ma:web="c3703092-74e5-4148-9481-13c6876a4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846F4-790C-46B9-8504-2EEFFD8666BC}">
  <ds:schemaRefs>
    <ds:schemaRef ds:uri="http://schemas.microsoft.com/sharepoint/v3/contenttype/forms"/>
  </ds:schemaRefs>
</ds:datastoreItem>
</file>

<file path=customXml/itemProps2.xml><?xml version="1.0" encoding="utf-8"?>
<ds:datastoreItem xmlns:ds="http://schemas.openxmlformats.org/officeDocument/2006/customXml" ds:itemID="{82017961-8A30-4040-A6AD-06C6812F1540}">
  <ds:schemaRefs>
    <ds:schemaRef ds:uri="http://schemas.openxmlformats.org/package/2006/metadata/core-properties"/>
    <ds:schemaRef ds:uri="c7524650-eb8d-43b5-8879-536f50440669"/>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7e5be03f-9e15-4d2c-a2a0-bd02bebca8b6"/>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568D27A-D9E7-4DB1-B989-FCCE966335A3}"/>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Maggie</dc:creator>
  <cp:keywords/>
  <dc:description/>
  <cp:lastModifiedBy>Bay, Maggie</cp:lastModifiedBy>
  <cp:revision>5</cp:revision>
  <dcterms:created xsi:type="dcterms:W3CDTF">2023-03-15T15:34:00Z</dcterms:created>
  <dcterms:modified xsi:type="dcterms:W3CDTF">2023-03-17T14:03:00Z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0x010100B68AD2A824334E4982171CD9396D59A5</vt:lpwstr>
  </property>
  <property fmtid="{D5CDD505-2E9C-101B-9397-08002B2CF9AE}" pid="3" name="MediaServiceImageTags">
    <vt:lpwstr/>
  </property>
</Properties>
</file>