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BEE8" w14:textId="77777777" w:rsidR="009500B4" w:rsidRDefault="009500B4" w:rsidP="00F16500">
      <w:pPr>
        <w:spacing w:after="0" w:line="240" w:lineRule="auto"/>
        <w:contextualSpacing/>
        <w:rPr>
          <w:b/>
        </w:rPr>
      </w:pPr>
    </w:p>
    <w:p w14:paraId="3D0EC343" w14:textId="7B36650E" w:rsidR="005B0D63" w:rsidRPr="00007324" w:rsidRDefault="00C646CA" w:rsidP="00F16500">
      <w:pPr>
        <w:spacing w:after="0" w:line="240" w:lineRule="auto"/>
        <w:contextualSpacing/>
        <w:rPr>
          <w:b/>
        </w:rPr>
      </w:pPr>
      <w:r>
        <w:rPr>
          <w:b/>
        </w:rPr>
        <w:t>OVERVIEW</w:t>
      </w:r>
    </w:p>
    <w:p w14:paraId="46995A26" w14:textId="66CD52B4" w:rsidR="005B0D63" w:rsidRPr="00007324" w:rsidRDefault="005B0D63" w:rsidP="00F16500">
      <w:pPr>
        <w:spacing w:after="0" w:line="240" w:lineRule="auto"/>
        <w:contextualSpacing/>
        <w:rPr>
          <w:bCs/>
          <w:iCs/>
        </w:rPr>
      </w:pPr>
      <w:r w:rsidRPr="00007324">
        <w:rPr>
          <w:bCs/>
          <w:iCs/>
        </w:rPr>
        <w:t xml:space="preserve">In the Democracy and the Rule of Law Clinic, students work with the nonpartisan nonprofit Protect Democracy on impact litigation, policy advocacy to local, state, and federal officials, and other </w:t>
      </w:r>
      <w:r w:rsidR="00153172" w:rsidRPr="00007324">
        <w:rPr>
          <w:bCs/>
          <w:iCs/>
        </w:rPr>
        <w:t>strategies to defeat the authoritarian threat to U.S. democracy, build more resilient democratic institutions, and protect a free, fair, and fully-informed democracy</w:t>
      </w:r>
      <w:r w:rsidRPr="00007324">
        <w:rPr>
          <w:bCs/>
          <w:iCs/>
        </w:rPr>
        <w:t>.</w:t>
      </w:r>
      <w:r w:rsidRPr="00007324">
        <w:rPr>
          <w:iCs/>
        </w:rPr>
        <w:t xml:space="preserve"> </w:t>
      </w:r>
      <w:r w:rsidRPr="00007324">
        <w:rPr>
          <w:bCs/>
          <w:iCs/>
        </w:rPr>
        <w:t>Almost all</w:t>
      </w:r>
      <w:r w:rsidR="00CF7D34" w:rsidRPr="00007324">
        <w:rPr>
          <w:bCs/>
          <w:iCs/>
        </w:rPr>
        <w:t xml:space="preserve"> of</w:t>
      </w:r>
      <w:r w:rsidRPr="00007324">
        <w:rPr>
          <w:bCs/>
          <w:iCs/>
        </w:rPr>
        <w:t xml:space="preserve"> Protect Democracy’s legal work involves novel questions in highly contested areas; as its advocacy goals necessitate high levels of rigor as well as creativity and sophistication, clinic students will tackle clinic projects requiring engagement with complex legal and factual terrain. Students do </w:t>
      </w:r>
      <w:r w:rsidRPr="00007324">
        <w:rPr>
          <w:bCs/>
          <w:iCs/>
          <w:u w:val="single"/>
        </w:rPr>
        <w:t>not</w:t>
      </w:r>
      <w:r w:rsidRPr="00007324">
        <w:rPr>
          <w:bCs/>
          <w:iCs/>
        </w:rPr>
        <w:t xml:space="preserve"> need to have any particular background or experience to do meaningful, impactful work in the clinic, and Protect Democracy </w:t>
      </w:r>
      <w:proofErr w:type="gramStart"/>
      <w:r w:rsidRPr="00007324">
        <w:rPr>
          <w:bCs/>
          <w:iCs/>
        </w:rPr>
        <w:t>supervisors also</w:t>
      </w:r>
      <w:proofErr w:type="gramEnd"/>
      <w:r w:rsidRPr="00007324">
        <w:rPr>
          <w:bCs/>
          <w:iCs/>
        </w:rPr>
        <w:t xml:space="preserve"> work closely with students to ensure they will reap personal, educational, and professional dividends from their time on the team.</w:t>
      </w:r>
    </w:p>
    <w:p w14:paraId="0BD0B520" w14:textId="60C13D40" w:rsidR="00C646CA" w:rsidRDefault="00C646CA" w:rsidP="00F16500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380"/>
      </w:tblGrid>
      <w:tr w:rsidR="00C646CA" w14:paraId="77E7308F" w14:textId="77777777" w:rsidTr="00007324">
        <w:tc>
          <w:tcPr>
            <w:tcW w:w="3145" w:type="dxa"/>
          </w:tcPr>
          <w:p w14:paraId="03BFE6C5" w14:textId="7C0EBAC2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380" w:type="dxa"/>
          </w:tcPr>
          <w:p w14:paraId="7404D187" w14:textId="6EEBF03D" w:rsidR="00C646CA" w:rsidRPr="006415CC" w:rsidRDefault="00007324" w:rsidP="00F16500">
            <w:pPr>
              <w:contextualSpacing/>
              <w:rPr>
                <w:bCs/>
              </w:rPr>
            </w:pPr>
            <w:r>
              <w:rPr>
                <w:bCs/>
              </w:rPr>
              <w:t>Fall or Spring</w:t>
            </w:r>
          </w:p>
        </w:tc>
      </w:tr>
      <w:tr w:rsidR="00C646CA" w14:paraId="2FB5B711" w14:textId="77777777" w:rsidTr="00007324">
        <w:tc>
          <w:tcPr>
            <w:tcW w:w="3145" w:type="dxa"/>
          </w:tcPr>
          <w:p w14:paraId="7B3EDC5A" w14:textId="79861332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380" w:type="dxa"/>
          </w:tcPr>
          <w:p w14:paraId="35985305" w14:textId="5510D7FC" w:rsidR="00C646CA" w:rsidRPr="006415CC" w:rsidRDefault="006415CC" w:rsidP="00F16500">
            <w:pPr>
              <w:contextualSpacing/>
              <w:rPr>
                <w:bCs/>
              </w:rPr>
            </w:pPr>
            <w:r>
              <w:rPr>
                <w:bCs/>
              </w:rPr>
              <w:t>Legal Tools for Protecting Democracy and the Rule of Law in America</w:t>
            </w:r>
          </w:p>
        </w:tc>
      </w:tr>
      <w:tr w:rsidR="00C646CA" w14:paraId="478D24ED" w14:textId="77777777" w:rsidTr="00007324">
        <w:tc>
          <w:tcPr>
            <w:tcW w:w="3145" w:type="dxa"/>
          </w:tcPr>
          <w:p w14:paraId="693CCF41" w14:textId="66CB170B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380" w:type="dxa"/>
          </w:tcPr>
          <w:p w14:paraId="5CE7E6C6" w14:textId="3D44559A" w:rsidR="00C646CA" w:rsidRPr="006415CC" w:rsidRDefault="006415CC" w:rsidP="00F16500">
            <w:pPr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007324">
              <w:rPr>
                <w:bCs/>
              </w:rPr>
              <w:t xml:space="preserve"> classroom credits</w:t>
            </w:r>
          </w:p>
        </w:tc>
      </w:tr>
      <w:tr w:rsidR="00C646CA" w14:paraId="6E0344E1" w14:textId="77777777" w:rsidTr="00007324">
        <w:tc>
          <w:tcPr>
            <w:tcW w:w="3145" w:type="dxa"/>
          </w:tcPr>
          <w:p w14:paraId="0CCE80A0" w14:textId="10A0B956" w:rsidR="00C646CA" w:rsidRPr="00C646CA" w:rsidRDefault="00C646CA" w:rsidP="00F16500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380" w:type="dxa"/>
          </w:tcPr>
          <w:p w14:paraId="69293C82" w14:textId="3BC5928E" w:rsidR="00C646CA" w:rsidRPr="006415CC" w:rsidRDefault="00007324" w:rsidP="00F16500">
            <w:pPr>
              <w:contextualSpacing/>
              <w:rPr>
                <w:bCs/>
              </w:rPr>
            </w:pPr>
            <w:r>
              <w:rPr>
                <w:bCs/>
              </w:rPr>
              <w:t>3, 4 or 5 clinical credits</w:t>
            </w:r>
          </w:p>
        </w:tc>
      </w:tr>
      <w:tr w:rsidR="00C646CA" w14:paraId="346BCF30" w14:textId="77777777" w:rsidTr="00007324">
        <w:tc>
          <w:tcPr>
            <w:tcW w:w="3145" w:type="dxa"/>
          </w:tcPr>
          <w:p w14:paraId="303241C5" w14:textId="6210710D" w:rsidR="00C646CA" w:rsidRPr="00C646CA" w:rsidRDefault="00C646CA" w:rsidP="00C646C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380" w:type="dxa"/>
          </w:tcPr>
          <w:p w14:paraId="1311FEE2" w14:textId="556CBFC0" w:rsidR="00C646CA" w:rsidRPr="006415CC" w:rsidRDefault="006415CC" w:rsidP="00C646CA">
            <w:pPr>
              <w:contextualSpacing/>
              <w:rPr>
                <w:bCs/>
              </w:rPr>
            </w:pPr>
            <w:r>
              <w:rPr>
                <w:bCs/>
              </w:rPr>
              <w:t>Remote</w:t>
            </w:r>
          </w:p>
        </w:tc>
      </w:tr>
      <w:tr w:rsidR="00C646CA" w14:paraId="055DF381" w14:textId="77777777" w:rsidTr="00007324">
        <w:tc>
          <w:tcPr>
            <w:tcW w:w="3145" w:type="dxa"/>
          </w:tcPr>
          <w:p w14:paraId="4A4CFAC8" w14:textId="2BCDF4BE" w:rsidR="00C646CA" w:rsidRPr="00C646CA" w:rsidRDefault="00C646CA" w:rsidP="00C646CA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380" w:type="dxa"/>
          </w:tcPr>
          <w:p w14:paraId="063DA134" w14:textId="25942AAD" w:rsidR="00C646CA" w:rsidRDefault="00C646CA" w:rsidP="00007324">
            <w:pPr>
              <w:contextualSpacing/>
              <w:rPr>
                <w:b/>
              </w:rPr>
            </w:pPr>
            <w:r>
              <w:t xml:space="preserve">Helios </w:t>
            </w:r>
          </w:p>
        </w:tc>
      </w:tr>
    </w:tbl>
    <w:p w14:paraId="7057BC07" w14:textId="77777777" w:rsidR="00C646CA" w:rsidRDefault="00C646CA" w:rsidP="00F16500">
      <w:pPr>
        <w:spacing w:after="0" w:line="240" w:lineRule="auto"/>
        <w:contextualSpacing/>
        <w:rPr>
          <w:b/>
        </w:rPr>
      </w:pPr>
    </w:p>
    <w:p w14:paraId="5429ADE5" w14:textId="0B504429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TYPES OF CASES/CLIENTS</w:t>
      </w:r>
      <w:r w:rsidR="00C646CA">
        <w:rPr>
          <w:b/>
        </w:rPr>
        <w:t>/PROJECTS</w:t>
      </w:r>
    </w:p>
    <w:p w14:paraId="618A639F" w14:textId="01682D85" w:rsidR="0051067B" w:rsidRPr="00717D20" w:rsidRDefault="0051067B" w:rsidP="00F16500">
      <w:pPr>
        <w:spacing w:after="0" w:line="240" w:lineRule="auto"/>
        <w:contextualSpacing/>
        <w:rPr>
          <w:i/>
          <w:iCs/>
        </w:rPr>
      </w:pPr>
      <w:r w:rsidRPr="00007324">
        <w:rPr>
          <w:iCs/>
        </w:rPr>
        <w:t>Work</w:t>
      </w:r>
      <w:r w:rsidR="00007324" w:rsidRPr="00007324">
        <w:rPr>
          <w:iCs/>
        </w:rPr>
        <w:t>s</w:t>
      </w:r>
      <w:r w:rsidRPr="00007324">
        <w:rPr>
          <w:iCs/>
        </w:rPr>
        <w:t xml:space="preserve"> to protect democracy </w:t>
      </w:r>
      <w:r w:rsidR="0091328B" w:rsidRPr="00007324">
        <w:rPr>
          <w:iCs/>
        </w:rPr>
        <w:t xml:space="preserve">across many dimensions – free and fair elections, separation of powers, countering disinformation, and others – using </w:t>
      </w:r>
      <w:r w:rsidR="00717D20" w:rsidRPr="00007324">
        <w:rPr>
          <w:iCs/>
        </w:rPr>
        <w:t xml:space="preserve">litigation, policy advocacy, </w:t>
      </w:r>
      <w:r w:rsidR="003C62C8" w:rsidRPr="00007324">
        <w:rPr>
          <w:iCs/>
        </w:rPr>
        <w:t xml:space="preserve">strategic communications, </w:t>
      </w:r>
      <w:r w:rsidR="00717D20" w:rsidRPr="00007324">
        <w:rPr>
          <w:iCs/>
        </w:rPr>
        <w:t>and other tools</w:t>
      </w:r>
      <w:r w:rsidR="00717D20" w:rsidRPr="00717D20">
        <w:rPr>
          <w:i/>
          <w:iCs/>
        </w:rPr>
        <w:t xml:space="preserve">.  </w:t>
      </w:r>
    </w:p>
    <w:p w14:paraId="4389C26F" w14:textId="61600B21" w:rsidR="00C5557E" w:rsidRDefault="00C5557E" w:rsidP="00C5557E">
      <w:pPr>
        <w:spacing w:after="0" w:line="240" w:lineRule="auto"/>
        <w:contextualSpacing/>
      </w:pPr>
    </w:p>
    <w:p w14:paraId="765259A3" w14:textId="5F9983C1" w:rsidR="00717D20" w:rsidRPr="00007324" w:rsidRDefault="00717D20" w:rsidP="00C5557E">
      <w:pPr>
        <w:spacing w:after="0" w:line="240" w:lineRule="auto"/>
        <w:contextualSpacing/>
        <w:rPr>
          <w:iCs/>
        </w:rPr>
      </w:pPr>
      <w:r w:rsidRPr="00007324">
        <w:rPr>
          <w:iCs/>
        </w:rPr>
        <w:t xml:space="preserve">Students </w:t>
      </w:r>
      <w:proofErr w:type="gramStart"/>
      <w:r w:rsidRPr="00007324">
        <w:rPr>
          <w:iCs/>
        </w:rPr>
        <w:t>will be assigned</w:t>
      </w:r>
      <w:proofErr w:type="gramEnd"/>
      <w:r w:rsidRPr="00007324">
        <w:rPr>
          <w:iCs/>
        </w:rPr>
        <w:t xml:space="preserve"> to one project team</w:t>
      </w:r>
      <w:r w:rsidR="00420038" w:rsidRPr="00007324">
        <w:rPr>
          <w:iCs/>
        </w:rPr>
        <w:t xml:space="preserve"> (e.g., a litigation matter or a policy campaign)</w:t>
      </w:r>
      <w:r w:rsidR="00B2463C" w:rsidRPr="00007324">
        <w:rPr>
          <w:iCs/>
        </w:rPr>
        <w:t xml:space="preserve"> that they will work with for the whole semester, and will then take on additional </w:t>
      </w:r>
      <w:r w:rsidR="00E55ECD" w:rsidRPr="00007324">
        <w:rPr>
          <w:iCs/>
        </w:rPr>
        <w:t>discrete projects</w:t>
      </w:r>
      <w:r w:rsidR="00E0173D" w:rsidRPr="00007324">
        <w:rPr>
          <w:iCs/>
        </w:rPr>
        <w:t xml:space="preserve"> based on </w:t>
      </w:r>
      <w:r w:rsidR="00130A65" w:rsidRPr="00007324">
        <w:rPr>
          <w:iCs/>
        </w:rPr>
        <w:t>student interest and bandwidth, as well as needs of the host organization</w:t>
      </w:r>
      <w:r w:rsidR="00E55ECD" w:rsidRPr="00007324">
        <w:rPr>
          <w:iCs/>
        </w:rPr>
        <w:t xml:space="preserve">.  </w:t>
      </w:r>
    </w:p>
    <w:p w14:paraId="1FCD79FD" w14:textId="77777777" w:rsidR="00717D20" w:rsidRDefault="00717D20" w:rsidP="00C5557E">
      <w:pPr>
        <w:spacing w:after="0" w:line="240" w:lineRule="auto"/>
        <w:contextualSpacing/>
      </w:pPr>
    </w:p>
    <w:p w14:paraId="16F4EA54" w14:textId="77777777" w:rsidR="00C5557E" w:rsidRPr="00787970" w:rsidRDefault="00C5557E" w:rsidP="00C5557E">
      <w:pPr>
        <w:spacing w:after="0" w:line="240" w:lineRule="auto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007324" w14:paraId="56C779D0" w14:textId="77777777" w:rsidTr="00007324">
        <w:tc>
          <w:tcPr>
            <w:tcW w:w="5125" w:type="dxa"/>
          </w:tcPr>
          <w:p w14:paraId="7CCB5A61" w14:textId="77777777" w:rsidR="00007324" w:rsidRPr="00007324" w:rsidRDefault="00007324" w:rsidP="00007324">
            <w:pPr>
              <w:contextualSpacing/>
            </w:pPr>
            <w:r w:rsidRPr="00007324">
              <w:t>Brief writing</w:t>
            </w:r>
          </w:p>
        </w:tc>
        <w:tc>
          <w:tcPr>
            <w:tcW w:w="5400" w:type="dxa"/>
          </w:tcPr>
          <w:p w14:paraId="205740B0" w14:textId="1E94F5F4" w:rsidR="00007324" w:rsidRPr="00007324" w:rsidRDefault="00007324" w:rsidP="00007324">
            <w:pPr>
              <w:contextualSpacing/>
            </w:pPr>
            <w:r w:rsidRPr="00007324">
              <w:t>Fact investigation</w:t>
            </w:r>
          </w:p>
        </w:tc>
      </w:tr>
      <w:tr w:rsidR="00007324" w14:paraId="126B7401" w14:textId="77777777" w:rsidTr="00007324">
        <w:tc>
          <w:tcPr>
            <w:tcW w:w="5125" w:type="dxa"/>
          </w:tcPr>
          <w:p w14:paraId="3D9904E4" w14:textId="77777777" w:rsidR="00007324" w:rsidRPr="00007324" w:rsidRDefault="00007324" w:rsidP="00007324">
            <w:pPr>
              <w:contextualSpacing/>
            </w:pPr>
            <w:r w:rsidRPr="00007324">
              <w:t>Legal research and writing</w:t>
            </w:r>
          </w:p>
        </w:tc>
        <w:tc>
          <w:tcPr>
            <w:tcW w:w="5400" w:type="dxa"/>
          </w:tcPr>
          <w:p w14:paraId="325D80FC" w14:textId="235D651F" w:rsidR="00007324" w:rsidRPr="00007324" w:rsidRDefault="00007324" w:rsidP="00007324">
            <w:pPr>
              <w:contextualSpacing/>
            </w:pPr>
            <w:r w:rsidRPr="00007324">
              <w:t>Interviewing clients</w:t>
            </w:r>
          </w:p>
        </w:tc>
      </w:tr>
      <w:tr w:rsidR="00007324" w14:paraId="5BD51217" w14:textId="77777777" w:rsidTr="00007324">
        <w:tc>
          <w:tcPr>
            <w:tcW w:w="5125" w:type="dxa"/>
          </w:tcPr>
          <w:p w14:paraId="3F4DF573" w14:textId="77777777" w:rsidR="00007324" w:rsidRPr="00007324" w:rsidRDefault="00007324" w:rsidP="00007324">
            <w:pPr>
              <w:contextualSpacing/>
            </w:pPr>
            <w:r w:rsidRPr="00007324">
              <w:t>Strategizing cases</w:t>
            </w:r>
          </w:p>
        </w:tc>
        <w:tc>
          <w:tcPr>
            <w:tcW w:w="5400" w:type="dxa"/>
          </w:tcPr>
          <w:p w14:paraId="2CCE0143" w14:textId="5C9EF52C" w:rsidR="00007324" w:rsidRPr="00007324" w:rsidRDefault="00007324" w:rsidP="00007324">
            <w:pPr>
              <w:contextualSpacing/>
            </w:pPr>
            <w:r w:rsidRPr="00007324">
              <w:t>Drafting reports and policy papers</w:t>
            </w:r>
          </w:p>
        </w:tc>
      </w:tr>
      <w:tr w:rsidR="00007324" w14:paraId="204FB1A8" w14:textId="77777777" w:rsidTr="00007324">
        <w:trPr>
          <w:gridAfter w:val="1"/>
          <w:wAfter w:w="5400" w:type="dxa"/>
        </w:trPr>
        <w:tc>
          <w:tcPr>
            <w:tcW w:w="5125" w:type="dxa"/>
          </w:tcPr>
          <w:p w14:paraId="1823D2E7" w14:textId="7DDA1B65" w:rsidR="00007324" w:rsidRPr="00007324" w:rsidRDefault="00007324" w:rsidP="00007324">
            <w:pPr>
              <w:contextualSpacing/>
            </w:pPr>
            <w:r w:rsidRPr="00007324">
              <w:t>Appellate litigation</w:t>
            </w:r>
          </w:p>
        </w:tc>
      </w:tr>
      <w:tr w:rsidR="00007324" w14:paraId="184874E5" w14:textId="77777777" w:rsidTr="00007324">
        <w:trPr>
          <w:gridAfter w:val="1"/>
          <w:wAfter w:w="5400" w:type="dxa"/>
        </w:trPr>
        <w:tc>
          <w:tcPr>
            <w:tcW w:w="5125" w:type="dxa"/>
          </w:tcPr>
          <w:p w14:paraId="2C5F4749" w14:textId="3ECAFB37" w:rsidR="00007324" w:rsidRPr="00007324" w:rsidRDefault="00007324" w:rsidP="00007324">
            <w:pPr>
              <w:contextualSpacing/>
            </w:pPr>
            <w:r w:rsidRPr="00007324">
              <w:t>Collaboration with partner organizations</w:t>
            </w:r>
          </w:p>
        </w:tc>
      </w:tr>
    </w:tbl>
    <w:p w14:paraId="789D8280" w14:textId="047E499A" w:rsidR="001A58CD" w:rsidRDefault="001A58CD" w:rsidP="00F16500">
      <w:pPr>
        <w:spacing w:after="0" w:line="240" w:lineRule="auto"/>
        <w:contextualSpacing/>
      </w:pPr>
      <w:bookmarkStart w:id="0" w:name="_GoBack"/>
      <w:bookmarkEnd w:id="0"/>
    </w:p>
    <w:p w14:paraId="7BDA3F88" w14:textId="498D7FB5" w:rsidR="001A58CD" w:rsidRPr="00787970" w:rsidRDefault="001A58CD" w:rsidP="00F16500">
      <w:pPr>
        <w:spacing w:after="0" w:line="240" w:lineRule="auto"/>
        <w:contextualSpacing/>
        <w:rPr>
          <w:b/>
        </w:rPr>
      </w:pPr>
      <w:r w:rsidRPr="00787970">
        <w:rPr>
          <w:b/>
        </w:rPr>
        <w:t>TYPICAL WORK SCHEDULE</w:t>
      </w:r>
    </w:p>
    <w:p w14:paraId="12CAF336" w14:textId="0EE108A8" w:rsidR="00335F00" w:rsidRDefault="00335F00" w:rsidP="00A40127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35F00" w14:paraId="2EFE6703" w14:textId="77777777" w:rsidTr="00007324">
        <w:trPr>
          <w:trHeight w:val="327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0275B7E" w14:textId="77777777" w:rsidR="00335F00" w:rsidRPr="00715325" w:rsidRDefault="00335F00" w:rsidP="000F2F6C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0EDDC85" w14:textId="77777777" w:rsidR="00335F00" w:rsidRPr="00715325" w:rsidRDefault="00335F00" w:rsidP="000F2F6C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2031BBCD" w14:textId="77777777" w:rsidR="00335F00" w:rsidRPr="00715325" w:rsidRDefault="00335F00" w:rsidP="000F2F6C">
            <w:pPr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00335F00" w14:paraId="5F3ED921" w14:textId="77777777" w:rsidTr="00007324">
        <w:trPr>
          <w:trHeight w:val="3135"/>
          <w:jc w:val="center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3C8054C" w14:textId="1963F09C" w:rsidR="00335F00" w:rsidRDefault="00D07C74" w:rsidP="000F2F6C">
            <w:pPr>
              <w:rPr>
                <w:rFonts w:eastAsia="Raleway" w:cs="Raleway"/>
                <w:color w:val="000000" w:themeColor="text1"/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9:00 to 11:00 a.m.:  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Research legal issues regarding standing and justiciability </w:t>
            </w:r>
            <w:r w:rsidR="00BE1D13">
              <w:rPr>
                <w:rFonts w:eastAsia="Raleway" w:cs="Raleway"/>
                <w:color w:val="000000" w:themeColor="text1"/>
                <w:sz w:val="20"/>
              </w:rPr>
              <w:t xml:space="preserve">for potential litigation </w:t>
            </w:r>
            <w:r w:rsidR="00B2026A">
              <w:rPr>
                <w:rFonts w:eastAsia="Raleway" w:cs="Raleway"/>
                <w:color w:val="000000" w:themeColor="text1"/>
                <w:sz w:val="20"/>
              </w:rPr>
              <w:t>challenging</w:t>
            </w:r>
            <w:r w:rsidR="00BE1D13">
              <w:rPr>
                <w:rFonts w:eastAsia="Raleway" w:cs="Raleway"/>
                <w:color w:val="000000" w:themeColor="text1"/>
                <w:sz w:val="20"/>
              </w:rPr>
              <w:t xml:space="preserve"> [state X] election subversion </w:t>
            </w:r>
            <w:r w:rsidR="004D069F">
              <w:rPr>
                <w:rFonts w:eastAsia="Raleway" w:cs="Raleway"/>
                <w:color w:val="000000" w:themeColor="text1"/>
                <w:sz w:val="20"/>
              </w:rPr>
              <w:t>legislation.</w:t>
            </w:r>
          </w:p>
          <w:p w14:paraId="5E8E374B" w14:textId="77777777" w:rsidR="00DF27A0" w:rsidRDefault="00DF27A0" w:rsidP="000F2F6C">
            <w:pPr>
              <w:rPr>
                <w:rFonts w:eastAsia="Raleway" w:cs="Raleway"/>
                <w:color w:val="000000" w:themeColor="text1"/>
                <w:sz w:val="20"/>
              </w:rPr>
            </w:pPr>
          </w:p>
          <w:p w14:paraId="12AA6390" w14:textId="591CD63E" w:rsidR="00DF27A0" w:rsidRPr="00D07C74" w:rsidRDefault="00DF27A0" w:rsidP="000F2F6C">
            <w:pPr>
              <w:rPr>
                <w:sz w:val="20"/>
              </w:rPr>
            </w:pPr>
            <w:r w:rsidRPr="00DF27A0">
              <w:rPr>
                <w:rFonts w:eastAsia="Raleway" w:cs="Raleway"/>
                <w:b/>
                <w:bCs/>
                <w:color w:val="000000" w:themeColor="text1"/>
                <w:sz w:val="20"/>
              </w:rPr>
              <w:t>11:00 to 11:</w:t>
            </w:r>
            <w:r w:rsidR="005B0D63">
              <w:rPr>
                <w:rFonts w:eastAsia="Raleway" w:cs="Raleway"/>
                <w:b/>
                <w:bCs/>
                <w:color w:val="000000" w:themeColor="text1"/>
                <w:sz w:val="20"/>
              </w:rPr>
              <w:t>30</w:t>
            </w:r>
            <w:r w:rsidRPr="00DF27A0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a.m</w:t>
            </w:r>
            <w:r>
              <w:rPr>
                <w:rFonts w:eastAsia="Raleway" w:cs="Raleway"/>
                <w:color w:val="000000" w:themeColor="text1"/>
                <w:sz w:val="20"/>
              </w:rPr>
              <w:t xml:space="preserve">.:  </w:t>
            </w:r>
            <w:r w:rsidR="005B0D63">
              <w:rPr>
                <w:rFonts w:eastAsia="Raleway" w:cs="Raleway"/>
                <w:color w:val="000000" w:themeColor="text1"/>
                <w:sz w:val="20"/>
              </w:rPr>
              <w:t xml:space="preserve">One-on-one </w:t>
            </w:r>
            <w:r w:rsidR="00375B55">
              <w:rPr>
                <w:rFonts w:eastAsia="Raleway" w:cs="Raleway"/>
                <w:color w:val="000000" w:themeColor="text1"/>
                <w:sz w:val="20"/>
              </w:rPr>
              <w:t xml:space="preserve">zoom check in with project supervisor to </w:t>
            </w:r>
            <w:r w:rsidR="005B0D63">
              <w:rPr>
                <w:rFonts w:eastAsia="Raleway" w:cs="Raleway"/>
                <w:color w:val="000000" w:themeColor="text1"/>
                <w:sz w:val="20"/>
              </w:rPr>
              <w:t xml:space="preserve">discuss feedback on previous week’s assignment and to </w:t>
            </w:r>
            <w:r w:rsidR="00375B55">
              <w:rPr>
                <w:rFonts w:eastAsia="Raleway" w:cs="Raleway"/>
                <w:color w:val="000000" w:themeColor="text1"/>
                <w:sz w:val="20"/>
              </w:rPr>
              <w:t xml:space="preserve">prepare for afternoon litigation team meeting.  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6CD547EA" w14:textId="29387D4B" w:rsidR="00335F00" w:rsidRDefault="004D069F" w:rsidP="000F2F6C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2:00 to 3:00</w:t>
            </w:r>
            <w:r w:rsidR="002078C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p.m.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Join conference call with Protect Democracy litigation team and co-counsel; present initial research findings </w:t>
            </w:r>
            <w:r w:rsidR="002078C6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on standing issues.  </w:t>
            </w:r>
          </w:p>
          <w:p w14:paraId="005290F9" w14:textId="77777777" w:rsidR="002078C6" w:rsidRDefault="002078C6" w:rsidP="000F2F6C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</w:p>
          <w:p w14:paraId="01125580" w14:textId="23551D98" w:rsidR="002078C6" w:rsidRPr="004D069F" w:rsidRDefault="002078C6" w:rsidP="000F2F6C">
            <w:pPr>
              <w:rPr>
                <w:sz w:val="20"/>
              </w:rPr>
            </w:pPr>
            <w:r w:rsidRPr="002078C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3:00 to 5:</w:t>
            </w:r>
            <w:r w:rsidR="00DB22A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2078C6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p.m.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:  </w:t>
            </w:r>
            <w:r w:rsidR="00DB22AC">
              <w:rPr>
                <w:rFonts w:eastAsia="Raleway" w:cs="Raleway"/>
                <w:color w:val="000000" w:themeColor="text1"/>
                <w:sz w:val="20"/>
                <w:szCs w:val="20"/>
              </w:rPr>
              <w:t>Draft section</w:t>
            </w:r>
            <w:r w:rsidR="00F0437D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s of white paper on proposed </w:t>
            </w:r>
            <w:r w:rsidR="00DF27A0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federal </w:t>
            </w:r>
            <w:r w:rsidR="00F0437D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legislative changes to </w:t>
            </w:r>
            <w:r w:rsidR="00DB08B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restore guardrails </w:t>
            </w:r>
            <w:r w:rsidR="00DF27A0">
              <w:rPr>
                <w:rFonts w:eastAsia="Raleway" w:cs="Raleway"/>
                <w:color w:val="000000" w:themeColor="text1"/>
                <w:sz w:val="20"/>
                <w:szCs w:val="20"/>
              </w:rPr>
              <w:t>against executive branch overreach.</w:t>
            </w:r>
            <w:r w:rsidR="006F6776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930C692" w14:textId="265DE606" w:rsidR="00335F00" w:rsidRPr="008C0816" w:rsidRDefault="008C0816" w:rsidP="000F2F6C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6:30 to 8:15: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 </w:t>
            </w:r>
            <w:r w:rsidR="0072228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Draft </w:t>
            </w:r>
            <w:r w:rsidR="00F71E11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background section of complaint for potential election subversion litigation, drawing on notes of client interviews to describe the </w:t>
            </w:r>
            <w:r w:rsidR="007E1020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harms imposed by the challenged policy.  </w:t>
            </w:r>
          </w:p>
        </w:tc>
      </w:tr>
    </w:tbl>
    <w:p w14:paraId="6A15C4AF" w14:textId="77777777" w:rsidR="00335F00" w:rsidRDefault="00335F00" w:rsidP="00A40127">
      <w:pPr>
        <w:spacing w:after="0" w:line="240" w:lineRule="auto"/>
        <w:contextualSpacing/>
      </w:pPr>
    </w:p>
    <w:sectPr w:rsidR="00335F00" w:rsidSect="00A4012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08B8F" w14:textId="77777777" w:rsidR="004C366F" w:rsidRDefault="004C366F" w:rsidP="00787970">
      <w:pPr>
        <w:spacing w:after="0" w:line="240" w:lineRule="auto"/>
      </w:pPr>
      <w:r>
        <w:separator/>
      </w:r>
    </w:p>
  </w:endnote>
  <w:endnote w:type="continuationSeparator" w:id="0">
    <w:p w14:paraId="0670443A" w14:textId="77777777" w:rsidR="004C366F" w:rsidRDefault="004C366F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MV Boli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ECA7" w14:textId="77777777" w:rsidR="004C366F" w:rsidRDefault="004C366F" w:rsidP="00787970">
      <w:pPr>
        <w:spacing w:after="0" w:line="240" w:lineRule="auto"/>
      </w:pPr>
      <w:r>
        <w:separator/>
      </w:r>
    </w:p>
  </w:footnote>
  <w:footnote w:type="continuationSeparator" w:id="0">
    <w:p w14:paraId="1E0170F9" w14:textId="77777777" w:rsidR="004C366F" w:rsidRDefault="004C366F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4A87" w14:textId="6BE3BF22" w:rsidR="590A8C28" w:rsidRDefault="009500B4" w:rsidP="590A8C28">
    <w:pPr>
      <w:spacing w:after="0" w:line="240" w:lineRule="auto"/>
      <w:contextualSpacing/>
      <w:jc w:val="center"/>
    </w:pPr>
    <w:r>
      <w:t>DEMOCRACY AND THE RULE OF LAW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007324"/>
    <w:rsid w:val="00065466"/>
    <w:rsid w:val="0006700C"/>
    <w:rsid w:val="000A4BB9"/>
    <w:rsid w:val="000D4AB1"/>
    <w:rsid w:val="00130A65"/>
    <w:rsid w:val="00153172"/>
    <w:rsid w:val="001A58CD"/>
    <w:rsid w:val="002078C6"/>
    <w:rsid w:val="00235B31"/>
    <w:rsid w:val="002A095E"/>
    <w:rsid w:val="002B39B5"/>
    <w:rsid w:val="00335F00"/>
    <w:rsid w:val="00375B55"/>
    <w:rsid w:val="003C62C8"/>
    <w:rsid w:val="00420038"/>
    <w:rsid w:val="0044166A"/>
    <w:rsid w:val="00481849"/>
    <w:rsid w:val="004C366F"/>
    <w:rsid w:val="004D069F"/>
    <w:rsid w:val="004D5280"/>
    <w:rsid w:val="0051067B"/>
    <w:rsid w:val="005336FE"/>
    <w:rsid w:val="005B0D63"/>
    <w:rsid w:val="005B6A77"/>
    <w:rsid w:val="005B7CCE"/>
    <w:rsid w:val="005D69B6"/>
    <w:rsid w:val="00625CAF"/>
    <w:rsid w:val="006415CC"/>
    <w:rsid w:val="00695B67"/>
    <w:rsid w:val="006F6776"/>
    <w:rsid w:val="00715325"/>
    <w:rsid w:val="00717D20"/>
    <w:rsid w:val="0072228B"/>
    <w:rsid w:val="00787970"/>
    <w:rsid w:val="007E1020"/>
    <w:rsid w:val="007F15BF"/>
    <w:rsid w:val="007F5E86"/>
    <w:rsid w:val="0087280A"/>
    <w:rsid w:val="008C0816"/>
    <w:rsid w:val="0091328B"/>
    <w:rsid w:val="009500B4"/>
    <w:rsid w:val="00A40127"/>
    <w:rsid w:val="00A74194"/>
    <w:rsid w:val="00AC03C6"/>
    <w:rsid w:val="00AC1E81"/>
    <w:rsid w:val="00B2026A"/>
    <w:rsid w:val="00B2463C"/>
    <w:rsid w:val="00B83133"/>
    <w:rsid w:val="00BA42A3"/>
    <w:rsid w:val="00BE1D13"/>
    <w:rsid w:val="00BE1F5F"/>
    <w:rsid w:val="00C34B5A"/>
    <w:rsid w:val="00C5557E"/>
    <w:rsid w:val="00C646CA"/>
    <w:rsid w:val="00CF7D34"/>
    <w:rsid w:val="00D07C74"/>
    <w:rsid w:val="00D709E8"/>
    <w:rsid w:val="00D9199A"/>
    <w:rsid w:val="00DB08B4"/>
    <w:rsid w:val="00DB22AC"/>
    <w:rsid w:val="00DD6A54"/>
    <w:rsid w:val="00DF27A0"/>
    <w:rsid w:val="00E0173D"/>
    <w:rsid w:val="00E14805"/>
    <w:rsid w:val="00E3007E"/>
    <w:rsid w:val="00E55ECD"/>
    <w:rsid w:val="00F0437D"/>
    <w:rsid w:val="00F16500"/>
    <w:rsid w:val="00F6683A"/>
    <w:rsid w:val="00F71E11"/>
    <w:rsid w:val="00FC4200"/>
    <w:rsid w:val="00FE7553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0A4B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B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1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A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0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DD98A-9907-4DF2-BFBB-8E864C42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17961-8A30-4040-A6AD-06C6812F154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503695ed-f6de-4767-af52-1df65692426b"/>
    <ds:schemaRef ds:uri="http://schemas.openxmlformats.org/package/2006/metadata/core-properties"/>
    <ds:schemaRef ds:uri="http://purl.org/dc/elements/1.1/"/>
    <ds:schemaRef ds:uri="c3703092-74e5-4148-9481-13c6876a4c4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2</cp:revision>
  <dcterms:created xsi:type="dcterms:W3CDTF">2023-03-15T17:39:00Z</dcterms:created>
  <dcterms:modified xsi:type="dcterms:W3CDTF">2023-03-15T17:39:00Z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