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0B520" w14:textId="60C13D40" w:rsidR="00C646CA" w:rsidRDefault="00C646CA" w:rsidP="00F16500">
      <w:pPr>
        <w:spacing w:after="0" w:line="240" w:lineRule="auto"/>
        <w:contextualSpacing/>
        <w:rPr>
          <w:b/>
        </w:rPr>
      </w:pPr>
    </w:p>
    <w:tbl>
      <w:tblPr>
        <w:tblStyle w:val="TableGrid"/>
        <w:tblW w:w="0" w:type="auto"/>
        <w:tblLook w:val="04A0" w:firstRow="1" w:lastRow="0" w:firstColumn="1" w:lastColumn="0" w:noHBand="0" w:noVBand="1"/>
      </w:tblPr>
      <w:tblGrid>
        <w:gridCol w:w="3145"/>
        <w:gridCol w:w="7470"/>
      </w:tblGrid>
      <w:tr w:rsidR="00C646CA" w14:paraId="77E7308F" w14:textId="77777777" w:rsidTr="00714667">
        <w:tc>
          <w:tcPr>
            <w:tcW w:w="3145" w:type="dxa"/>
          </w:tcPr>
          <w:p w14:paraId="03BFE6C5" w14:textId="7C0EBAC2" w:rsidR="00C646CA" w:rsidRPr="00C646CA" w:rsidRDefault="00C646CA" w:rsidP="00F16500">
            <w:pPr>
              <w:contextualSpacing/>
              <w:rPr>
                <w:b/>
                <w:bCs/>
              </w:rPr>
            </w:pPr>
            <w:r w:rsidRPr="00C646CA">
              <w:rPr>
                <w:b/>
                <w:bCs/>
              </w:rPr>
              <w:t>SEMESTER(S) OFFERED</w:t>
            </w:r>
          </w:p>
        </w:tc>
        <w:tc>
          <w:tcPr>
            <w:tcW w:w="7470" w:type="dxa"/>
          </w:tcPr>
          <w:p w14:paraId="7404D187" w14:textId="7BF92A89" w:rsidR="00C646CA" w:rsidRPr="000229F0" w:rsidRDefault="00714667" w:rsidP="00F16500">
            <w:pPr>
              <w:contextualSpacing/>
              <w:rPr>
                <w:bCs/>
              </w:rPr>
            </w:pPr>
            <w:r>
              <w:rPr>
                <w:bCs/>
              </w:rPr>
              <w:t xml:space="preserve">Fall, Winter-Spring or </w:t>
            </w:r>
            <w:r w:rsidR="000229F0" w:rsidRPr="000229F0">
              <w:rPr>
                <w:bCs/>
              </w:rPr>
              <w:t>Spring</w:t>
            </w:r>
          </w:p>
        </w:tc>
      </w:tr>
      <w:tr w:rsidR="00C646CA" w14:paraId="2FB5B711" w14:textId="77777777" w:rsidTr="00714667">
        <w:trPr>
          <w:trHeight w:val="332"/>
        </w:trPr>
        <w:tc>
          <w:tcPr>
            <w:tcW w:w="3145" w:type="dxa"/>
          </w:tcPr>
          <w:p w14:paraId="7B3EDC5A" w14:textId="3B26A0AA" w:rsidR="00C646CA" w:rsidRPr="00C646CA" w:rsidRDefault="00C646CA" w:rsidP="000229F0">
            <w:pPr>
              <w:contextualSpacing/>
              <w:rPr>
                <w:b/>
                <w:bCs/>
              </w:rPr>
            </w:pPr>
            <w:r w:rsidRPr="00C646CA">
              <w:rPr>
                <w:b/>
                <w:bCs/>
              </w:rPr>
              <w:t>CLINICAL COURSE COMPONENT</w:t>
            </w:r>
          </w:p>
        </w:tc>
        <w:tc>
          <w:tcPr>
            <w:tcW w:w="7470" w:type="dxa"/>
          </w:tcPr>
          <w:p w14:paraId="35985305" w14:textId="53731736" w:rsidR="00C646CA" w:rsidRPr="000229F0" w:rsidRDefault="000229F0" w:rsidP="00F16500">
            <w:pPr>
              <w:contextualSpacing/>
              <w:rPr>
                <w:bCs/>
              </w:rPr>
            </w:pPr>
            <w:r>
              <w:rPr>
                <w:bCs/>
              </w:rPr>
              <w:t>Lawyering for Children &amp; Youth Seminar</w:t>
            </w:r>
          </w:p>
        </w:tc>
      </w:tr>
      <w:tr w:rsidR="00C646CA" w14:paraId="478D24ED" w14:textId="77777777" w:rsidTr="00714667">
        <w:tc>
          <w:tcPr>
            <w:tcW w:w="3145" w:type="dxa"/>
          </w:tcPr>
          <w:p w14:paraId="693CCF41" w14:textId="66CB170B" w:rsidR="00C646CA" w:rsidRPr="00C646CA" w:rsidRDefault="00C646CA" w:rsidP="00F16500">
            <w:pPr>
              <w:contextualSpacing/>
              <w:rPr>
                <w:b/>
                <w:bCs/>
              </w:rPr>
            </w:pPr>
            <w:r w:rsidRPr="00C646CA">
              <w:rPr>
                <w:b/>
                <w:bCs/>
              </w:rPr>
              <w:t>COURSE CREDITS</w:t>
            </w:r>
          </w:p>
        </w:tc>
        <w:tc>
          <w:tcPr>
            <w:tcW w:w="7470" w:type="dxa"/>
          </w:tcPr>
          <w:p w14:paraId="5CE7E6C6" w14:textId="68A92BC5" w:rsidR="00C646CA" w:rsidRPr="000229F0" w:rsidRDefault="000229F0" w:rsidP="00F16500">
            <w:pPr>
              <w:contextualSpacing/>
              <w:rPr>
                <w:bCs/>
              </w:rPr>
            </w:pPr>
            <w:r w:rsidRPr="000229F0">
              <w:rPr>
                <w:bCs/>
              </w:rPr>
              <w:t>2</w:t>
            </w:r>
            <w:r w:rsidR="00714667">
              <w:rPr>
                <w:bCs/>
              </w:rPr>
              <w:t xml:space="preserve"> class room credits</w:t>
            </w:r>
          </w:p>
        </w:tc>
      </w:tr>
      <w:tr w:rsidR="000229F0" w14:paraId="6E0344E1" w14:textId="77777777" w:rsidTr="00714667">
        <w:tc>
          <w:tcPr>
            <w:tcW w:w="3145" w:type="dxa"/>
          </w:tcPr>
          <w:p w14:paraId="0CCE80A0" w14:textId="10A0B956" w:rsidR="000229F0" w:rsidRPr="00C646CA" w:rsidRDefault="000229F0" w:rsidP="000229F0">
            <w:pPr>
              <w:contextualSpacing/>
              <w:rPr>
                <w:b/>
                <w:bCs/>
              </w:rPr>
            </w:pPr>
            <w:r w:rsidRPr="00C646CA">
              <w:rPr>
                <w:b/>
                <w:bCs/>
              </w:rPr>
              <w:t>CLINICAL CREDIT</w:t>
            </w:r>
            <w:r>
              <w:rPr>
                <w:b/>
                <w:bCs/>
              </w:rPr>
              <w:t>S</w:t>
            </w:r>
          </w:p>
        </w:tc>
        <w:tc>
          <w:tcPr>
            <w:tcW w:w="7470" w:type="dxa"/>
          </w:tcPr>
          <w:p w14:paraId="69293C82" w14:textId="0BCF0C16" w:rsidR="000229F0" w:rsidRPr="000229F0" w:rsidRDefault="00714667" w:rsidP="000229F0">
            <w:pPr>
              <w:contextualSpacing/>
              <w:rPr>
                <w:bCs/>
              </w:rPr>
            </w:pPr>
            <w:r>
              <w:rPr>
                <w:bCs/>
              </w:rPr>
              <w:t>4 or 5 for fall/spring; 6-7 for winter-spring (2 winter + 4-5 spring)</w:t>
            </w:r>
          </w:p>
        </w:tc>
      </w:tr>
      <w:tr w:rsidR="000229F0" w14:paraId="346BCF30" w14:textId="77777777" w:rsidTr="00714667">
        <w:tc>
          <w:tcPr>
            <w:tcW w:w="3145" w:type="dxa"/>
          </w:tcPr>
          <w:p w14:paraId="303241C5" w14:textId="6210710D" w:rsidR="000229F0" w:rsidRPr="00C646CA" w:rsidRDefault="000229F0" w:rsidP="000229F0">
            <w:pPr>
              <w:contextualSpacing/>
              <w:rPr>
                <w:b/>
                <w:bCs/>
              </w:rPr>
            </w:pPr>
            <w:r>
              <w:rPr>
                <w:b/>
                <w:bCs/>
              </w:rPr>
              <w:t>LOCATION</w:t>
            </w:r>
          </w:p>
        </w:tc>
        <w:tc>
          <w:tcPr>
            <w:tcW w:w="7470" w:type="dxa"/>
          </w:tcPr>
          <w:p w14:paraId="1311FEE2" w14:textId="0827A6A0" w:rsidR="000229F0" w:rsidRPr="000229F0" w:rsidRDefault="00714667" w:rsidP="00714667">
            <w:pPr>
              <w:contextualSpacing/>
              <w:rPr>
                <w:bCs/>
              </w:rPr>
            </w:pPr>
            <w:r>
              <w:rPr>
                <w:bCs/>
              </w:rPr>
              <w:t>Various external organizations (in Boston and nationwide)</w:t>
            </w:r>
          </w:p>
        </w:tc>
      </w:tr>
      <w:tr w:rsidR="000229F0" w14:paraId="055DF381" w14:textId="77777777" w:rsidTr="00714667">
        <w:tc>
          <w:tcPr>
            <w:tcW w:w="3145" w:type="dxa"/>
          </w:tcPr>
          <w:p w14:paraId="4A4CFAC8" w14:textId="2BCDF4BE" w:rsidR="000229F0" w:rsidRPr="00C646CA" w:rsidRDefault="000229F0" w:rsidP="000229F0">
            <w:pPr>
              <w:contextualSpacing/>
              <w:rPr>
                <w:b/>
                <w:bCs/>
              </w:rPr>
            </w:pPr>
            <w:r w:rsidRPr="00C646CA">
              <w:rPr>
                <w:b/>
                <w:bCs/>
              </w:rPr>
              <w:t>REGISTRATION TYPE</w:t>
            </w:r>
          </w:p>
        </w:tc>
        <w:tc>
          <w:tcPr>
            <w:tcW w:w="7470" w:type="dxa"/>
          </w:tcPr>
          <w:p w14:paraId="063DA134" w14:textId="74300D35" w:rsidR="000229F0" w:rsidRPr="000229F0" w:rsidRDefault="000229F0" w:rsidP="00714667">
            <w:pPr>
              <w:contextualSpacing/>
              <w:rPr>
                <w:bCs/>
              </w:rPr>
            </w:pPr>
            <w:r w:rsidRPr="000229F0">
              <w:rPr>
                <w:bCs/>
              </w:rPr>
              <w:t xml:space="preserve">Helios </w:t>
            </w:r>
          </w:p>
        </w:tc>
      </w:tr>
    </w:tbl>
    <w:p w14:paraId="7057BC07" w14:textId="77777777" w:rsidR="00C646CA" w:rsidRDefault="00C646CA" w:rsidP="00F16500">
      <w:pPr>
        <w:spacing w:after="0" w:line="240" w:lineRule="auto"/>
        <w:contextualSpacing/>
        <w:rPr>
          <w:b/>
        </w:rPr>
      </w:pPr>
    </w:p>
    <w:p w14:paraId="205C0140" w14:textId="2580423F" w:rsidR="000229F0" w:rsidRDefault="001A58CD" w:rsidP="000229F0">
      <w:pPr>
        <w:spacing w:after="0" w:line="240" w:lineRule="auto"/>
        <w:contextualSpacing/>
        <w:rPr>
          <w:b/>
        </w:rPr>
      </w:pPr>
      <w:r w:rsidRPr="00787970">
        <w:rPr>
          <w:b/>
        </w:rPr>
        <w:t xml:space="preserve">TYPES OF </w:t>
      </w:r>
      <w:r w:rsidR="00D86287">
        <w:rPr>
          <w:b/>
        </w:rPr>
        <w:t>PLACEMENTS</w:t>
      </w:r>
      <w:bookmarkStart w:id="0" w:name="_GoBack"/>
      <w:bookmarkEnd w:id="0"/>
    </w:p>
    <w:p w14:paraId="471A71FD" w14:textId="181B0B32" w:rsidR="000229F0" w:rsidRPr="000229F0" w:rsidRDefault="000229F0" w:rsidP="000229F0">
      <w:pPr>
        <w:spacing w:after="0" w:line="240" w:lineRule="auto"/>
        <w:contextualSpacing/>
        <w:rPr>
          <w:b/>
        </w:rPr>
      </w:pPr>
      <w:r w:rsidRPr="000229F0">
        <w:rPr>
          <w:rFonts w:cstheme="minorHAnsi"/>
        </w:rPr>
        <w:t>Students are placed as externs, working under a supervising attorney, in a wide array of fieldwork settings that focus on child welfare, education, and the juvenile legal system. Clinical fieldwork may implicate more discrete issues, such as older youth transitioning out of the foster care system, sexual exploitation of children, LGBTQ youth, special education and school discipline, and eliminating racial disparities in various systems. Placements range from organizations providing individual advocacy, to those promoting systemic change through</w:t>
      </w:r>
      <w:r w:rsidR="00E80B49">
        <w:rPr>
          <w:rFonts w:cstheme="minorHAnsi"/>
        </w:rPr>
        <w:t xml:space="preserve"> movement lawyering,</w:t>
      </w:r>
      <w:r w:rsidRPr="000229F0">
        <w:rPr>
          <w:rFonts w:cstheme="minorHAnsi"/>
        </w:rPr>
        <w:t xml:space="preserve"> impact litigation, legislative reform, or policy.</w:t>
      </w:r>
    </w:p>
    <w:p w14:paraId="5C93C7D5" w14:textId="232AE4E7" w:rsidR="000229F0" w:rsidRPr="000229F0" w:rsidRDefault="000229F0" w:rsidP="000229F0">
      <w:pPr>
        <w:pStyle w:val="NormalWeb"/>
        <w:rPr>
          <w:rFonts w:asciiTheme="minorHAnsi" w:hAnsiTheme="minorHAnsi" w:cstheme="minorHAnsi"/>
          <w:sz w:val="22"/>
          <w:szCs w:val="22"/>
        </w:rPr>
      </w:pPr>
      <w:r w:rsidRPr="000229F0">
        <w:rPr>
          <w:rFonts w:asciiTheme="minorHAnsi" w:hAnsiTheme="minorHAnsi" w:cstheme="minorHAnsi"/>
          <w:sz w:val="22"/>
          <w:szCs w:val="22"/>
        </w:rPr>
        <w:t xml:space="preserve">Based on their host placement, students may: engage in courtroom advocacy; participate in school and home visits; assist with interviews of </w:t>
      </w:r>
      <w:r w:rsidR="00E80B49">
        <w:rPr>
          <w:rFonts w:asciiTheme="minorHAnsi" w:hAnsiTheme="minorHAnsi" w:cstheme="minorHAnsi"/>
          <w:sz w:val="22"/>
          <w:szCs w:val="22"/>
        </w:rPr>
        <w:t>children</w:t>
      </w:r>
      <w:r w:rsidRPr="000229F0">
        <w:rPr>
          <w:rFonts w:asciiTheme="minorHAnsi" w:hAnsiTheme="minorHAnsi" w:cstheme="minorHAnsi"/>
          <w:sz w:val="22"/>
          <w:szCs w:val="22"/>
        </w:rPr>
        <w:t xml:space="preserve">; analyze social science and psychological research; prepare for city council or legislative hearings; </w:t>
      </w:r>
      <w:r w:rsidR="005C6546">
        <w:rPr>
          <w:rFonts w:asciiTheme="minorHAnsi" w:hAnsiTheme="minorHAnsi" w:cstheme="minorHAnsi"/>
          <w:sz w:val="22"/>
          <w:szCs w:val="22"/>
        </w:rPr>
        <w:t xml:space="preserve">and </w:t>
      </w:r>
      <w:r w:rsidRPr="000229F0">
        <w:rPr>
          <w:rFonts w:asciiTheme="minorHAnsi" w:hAnsiTheme="minorHAnsi" w:cstheme="minorHAnsi"/>
          <w:sz w:val="22"/>
          <w:szCs w:val="22"/>
        </w:rPr>
        <w:t>provide trainings to various stakeholders. For instance:</w:t>
      </w:r>
    </w:p>
    <w:p w14:paraId="2C6616D0" w14:textId="77777777" w:rsidR="000229F0" w:rsidRPr="000229F0" w:rsidRDefault="000229F0" w:rsidP="000229F0">
      <w:pPr>
        <w:numPr>
          <w:ilvl w:val="0"/>
          <w:numId w:val="1"/>
        </w:numPr>
        <w:spacing w:before="100" w:beforeAutospacing="1" w:after="100" w:afterAutospacing="1" w:line="240" w:lineRule="auto"/>
        <w:rPr>
          <w:rFonts w:cstheme="minorHAnsi"/>
        </w:rPr>
      </w:pPr>
      <w:r w:rsidRPr="000229F0">
        <w:rPr>
          <w:rFonts w:cstheme="minorHAnsi"/>
        </w:rPr>
        <w:t xml:space="preserve">In the </w:t>
      </w:r>
      <w:r w:rsidRPr="000229F0">
        <w:rPr>
          <w:rStyle w:val="Strong"/>
          <w:rFonts w:cstheme="minorHAnsi"/>
        </w:rPr>
        <w:t>child welfare</w:t>
      </w:r>
      <w:r w:rsidRPr="000229F0">
        <w:rPr>
          <w:rFonts w:cstheme="minorHAnsi"/>
        </w:rPr>
        <w:t xml:space="preserve"> area, students may represent individual children who are abused and neglected; serve alongside District Attorneys prosecuting caretakers accused of child maltreatment; or work with juvenile court judges adjudicating care and protection and other child welfare cases.</w:t>
      </w:r>
    </w:p>
    <w:p w14:paraId="6385FAA2" w14:textId="77777777" w:rsidR="000229F0" w:rsidRPr="000229F0" w:rsidRDefault="000229F0" w:rsidP="000229F0">
      <w:pPr>
        <w:numPr>
          <w:ilvl w:val="0"/>
          <w:numId w:val="1"/>
        </w:numPr>
        <w:spacing w:before="100" w:beforeAutospacing="1" w:after="100" w:afterAutospacing="1" w:line="240" w:lineRule="auto"/>
        <w:rPr>
          <w:rFonts w:cstheme="minorHAnsi"/>
        </w:rPr>
      </w:pPr>
      <w:r w:rsidRPr="000229F0">
        <w:rPr>
          <w:rFonts w:cstheme="minorHAnsi"/>
        </w:rPr>
        <w:t xml:space="preserve">In the </w:t>
      </w:r>
      <w:r w:rsidRPr="000229F0">
        <w:rPr>
          <w:rStyle w:val="Strong"/>
          <w:rFonts w:cstheme="minorHAnsi"/>
        </w:rPr>
        <w:t>education</w:t>
      </w:r>
      <w:r w:rsidRPr="000229F0">
        <w:rPr>
          <w:rFonts w:cstheme="minorHAnsi"/>
        </w:rPr>
        <w:t xml:space="preserve"> area, students may engage in efforts to advance educational outcomes for low-income students; participate in special education cases; or work with the state agency charged with overseeing schools on issues such as charter schools, assessment and accountability, student rights, and school discipline.</w:t>
      </w:r>
    </w:p>
    <w:p w14:paraId="25ED0739" w14:textId="77777777" w:rsidR="000229F0" w:rsidRPr="000229F0" w:rsidRDefault="000229F0" w:rsidP="000229F0">
      <w:pPr>
        <w:numPr>
          <w:ilvl w:val="0"/>
          <w:numId w:val="1"/>
        </w:numPr>
        <w:spacing w:before="100" w:beforeAutospacing="1" w:after="100" w:afterAutospacing="1" w:line="240" w:lineRule="auto"/>
        <w:rPr>
          <w:rFonts w:cstheme="minorHAnsi"/>
        </w:rPr>
      </w:pPr>
      <w:r w:rsidRPr="000229F0">
        <w:rPr>
          <w:rFonts w:cstheme="minorHAnsi"/>
        </w:rPr>
        <w:t xml:space="preserve">In the </w:t>
      </w:r>
      <w:r w:rsidRPr="000229F0">
        <w:rPr>
          <w:rStyle w:val="Strong"/>
          <w:rFonts w:cstheme="minorHAnsi"/>
        </w:rPr>
        <w:t>juvenile legal system </w:t>
      </w:r>
      <w:r w:rsidRPr="000229F0">
        <w:rPr>
          <w:rFonts w:cstheme="minorHAnsi"/>
        </w:rPr>
        <w:t>area, students may support legislative changes to improve conditions of confinement for young people; promote policies to reform the legal system for youth of color; or work alongside public defenders in delinquency and youthful offender cases.</w:t>
      </w:r>
    </w:p>
    <w:p w14:paraId="16F4EA54" w14:textId="77777777" w:rsidR="00C5557E" w:rsidRPr="00787970" w:rsidRDefault="00C5557E" w:rsidP="00C5557E">
      <w:pPr>
        <w:spacing w:after="0" w:line="240" w:lineRule="auto"/>
        <w:contextualSpacing/>
        <w:rPr>
          <w:b/>
        </w:rPr>
      </w:pPr>
      <w:r w:rsidRPr="00787970">
        <w:rPr>
          <w:b/>
        </w:rPr>
        <w:t>SKILLS</w:t>
      </w:r>
    </w:p>
    <w:p w14:paraId="21C77B21" w14:textId="1E4CFE47" w:rsidR="00C5557E" w:rsidRDefault="007B0897" w:rsidP="00C5557E">
      <w:pPr>
        <w:spacing w:after="0" w:line="240" w:lineRule="auto"/>
        <w:contextualSpacing/>
      </w:pPr>
      <w:r>
        <w:t xml:space="preserve">Specific skills </w:t>
      </w:r>
      <w:r w:rsidR="005C6546">
        <w:t xml:space="preserve">will </w:t>
      </w:r>
      <w:r>
        <w:t>depend on the host placement’s primary mode of advocacy but may include the following:</w:t>
      </w:r>
    </w:p>
    <w:tbl>
      <w:tblPr>
        <w:tblStyle w:val="TableGrid"/>
        <w:tblW w:w="0" w:type="auto"/>
        <w:tblLook w:val="04A0" w:firstRow="1" w:lastRow="0" w:firstColumn="1" w:lastColumn="0" w:noHBand="0" w:noVBand="1"/>
      </w:tblPr>
      <w:tblGrid>
        <w:gridCol w:w="3116"/>
        <w:gridCol w:w="3899"/>
        <w:gridCol w:w="3600"/>
      </w:tblGrid>
      <w:tr w:rsidR="00C5557E" w14:paraId="56C779D0" w14:textId="77777777" w:rsidTr="00714667">
        <w:tc>
          <w:tcPr>
            <w:tcW w:w="3116" w:type="dxa"/>
          </w:tcPr>
          <w:p w14:paraId="7CCB5A61" w14:textId="77777777" w:rsidR="00C5557E" w:rsidRDefault="00C5557E" w:rsidP="00A82F57">
            <w:pPr>
              <w:contextualSpacing/>
            </w:pPr>
            <w:r>
              <w:t>Brief writing</w:t>
            </w:r>
          </w:p>
        </w:tc>
        <w:tc>
          <w:tcPr>
            <w:tcW w:w="3899" w:type="dxa"/>
          </w:tcPr>
          <w:p w14:paraId="205740B0" w14:textId="77777777" w:rsidR="00C5557E" w:rsidRDefault="00C5557E" w:rsidP="00A82F57">
            <w:pPr>
              <w:contextualSpacing/>
            </w:pPr>
            <w:r>
              <w:t>Appellate litigation</w:t>
            </w:r>
          </w:p>
        </w:tc>
        <w:tc>
          <w:tcPr>
            <w:tcW w:w="3600" w:type="dxa"/>
          </w:tcPr>
          <w:p w14:paraId="4E5966BF" w14:textId="77777777" w:rsidR="00C5557E" w:rsidRDefault="00C5557E" w:rsidP="00A82F57">
            <w:pPr>
              <w:contextualSpacing/>
            </w:pPr>
            <w:r>
              <w:t>Interviewing clients</w:t>
            </w:r>
          </w:p>
        </w:tc>
      </w:tr>
      <w:tr w:rsidR="00C5557E" w14:paraId="126B7401" w14:textId="77777777" w:rsidTr="00714667">
        <w:tc>
          <w:tcPr>
            <w:tcW w:w="3116" w:type="dxa"/>
          </w:tcPr>
          <w:p w14:paraId="3D9904E4" w14:textId="77777777" w:rsidR="00C5557E" w:rsidRDefault="00C5557E" w:rsidP="00A82F57">
            <w:pPr>
              <w:contextualSpacing/>
            </w:pPr>
            <w:r>
              <w:t>Legal research and writing</w:t>
            </w:r>
          </w:p>
        </w:tc>
        <w:tc>
          <w:tcPr>
            <w:tcW w:w="3899" w:type="dxa"/>
          </w:tcPr>
          <w:p w14:paraId="325D80FC" w14:textId="77777777" w:rsidR="00C5557E" w:rsidRDefault="00C5557E" w:rsidP="00A82F57">
            <w:pPr>
              <w:contextualSpacing/>
            </w:pPr>
            <w:r>
              <w:t>Collaboration with partner organizations</w:t>
            </w:r>
          </w:p>
        </w:tc>
        <w:tc>
          <w:tcPr>
            <w:tcW w:w="3600" w:type="dxa"/>
          </w:tcPr>
          <w:p w14:paraId="482A1B70" w14:textId="77777777" w:rsidR="00C5557E" w:rsidRDefault="00C5557E" w:rsidP="00A82F57">
            <w:pPr>
              <w:contextualSpacing/>
            </w:pPr>
            <w:r>
              <w:t>Drafting reports and policy papers</w:t>
            </w:r>
          </w:p>
        </w:tc>
      </w:tr>
      <w:tr w:rsidR="00C5557E" w14:paraId="5BD51217" w14:textId="77777777" w:rsidTr="00714667">
        <w:tc>
          <w:tcPr>
            <w:tcW w:w="3116" w:type="dxa"/>
          </w:tcPr>
          <w:p w14:paraId="3F4DF573" w14:textId="77777777" w:rsidR="00C5557E" w:rsidRDefault="00C5557E" w:rsidP="00A82F57">
            <w:pPr>
              <w:contextualSpacing/>
            </w:pPr>
            <w:r>
              <w:t>Strategizing cases</w:t>
            </w:r>
          </w:p>
        </w:tc>
        <w:tc>
          <w:tcPr>
            <w:tcW w:w="3899" w:type="dxa"/>
          </w:tcPr>
          <w:p w14:paraId="2CCE0143" w14:textId="77777777" w:rsidR="00C5557E" w:rsidRDefault="00C5557E" w:rsidP="00A82F57">
            <w:pPr>
              <w:contextualSpacing/>
            </w:pPr>
            <w:r>
              <w:t>Preparing comments</w:t>
            </w:r>
          </w:p>
        </w:tc>
        <w:tc>
          <w:tcPr>
            <w:tcW w:w="3600" w:type="dxa"/>
          </w:tcPr>
          <w:p w14:paraId="761341ED" w14:textId="77777777" w:rsidR="00C5557E" w:rsidRDefault="00C5557E" w:rsidP="00A82F57">
            <w:pPr>
              <w:contextualSpacing/>
            </w:pPr>
            <w:r>
              <w:t>Oral presentations</w:t>
            </w:r>
          </w:p>
        </w:tc>
      </w:tr>
      <w:tr w:rsidR="00C5557E" w14:paraId="204FB1A8" w14:textId="77777777" w:rsidTr="00714667">
        <w:tc>
          <w:tcPr>
            <w:tcW w:w="3116" w:type="dxa"/>
          </w:tcPr>
          <w:p w14:paraId="1823D2E7" w14:textId="77777777" w:rsidR="00C5557E" w:rsidRDefault="00C5557E" w:rsidP="00A82F57">
            <w:pPr>
              <w:contextualSpacing/>
            </w:pPr>
            <w:r>
              <w:t>Policy and advocacy work</w:t>
            </w:r>
          </w:p>
        </w:tc>
        <w:tc>
          <w:tcPr>
            <w:tcW w:w="3899" w:type="dxa"/>
          </w:tcPr>
          <w:p w14:paraId="315E9387" w14:textId="77777777" w:rsidR="00C5557E" w:rsidRDefault="00C5557E" w:rsidP="00A82F57">
            <w:pPr>
              <w:contextualSpacing/>
            </w:pPr>
            <w:r>
              <w:t>Trial preparation</w:t>
            </w:r>
          </w:p>
        </w:tc>
        <w:tc>
          <w:tcPr>
            <w:tcW w:w="3600" w:type="dxa"/>
          </w:tcPr>
          <w:p w14:paraId="144E70F2" w14:textId="77777777" w:rsidR="00C5557E" w:rsidRDefault="00C5557E" w:rsidP="00A82F57">
            <w:pPr>
              <w:contextualSpacing/>
            </w:pPr>
            <w:r>
              <w:t>Administrative hearings</w:t>
            </w:r>
          </w:p>
        </w:tc>
      </w:tr>
      <w:tr w:rsidR="00C5557E" w14:paraId="184874E5" w14:textId="77777777" w:rsidTr="00714667">
        <w:tc>
          <w:tcPr>
            <w:tcW w:w="3116" w:type="dxa"/>
          </w:tcPr>
          <w:p w14:paraId="2C5F4749" w14:textId="77777777" w:rsidR="00C5557E" w:rsidRDefault="00C5557E" w:rsidP="00A82F57">
            <w:pPr>
              <w:contextualSpacing/>
            </w:pPr>
            <w:r>
              <w:t>Working with experts</w:t>
            </w:r>
          </w:p>
        </w:tc>
        <w:tc>
          <w:tcPr>
            <w:tcW w:w="3899" w:type="dxa"/>
          </w:tcPr>
          <w:p w14:paraId="5E3E7969" w14:textId="77777777" w:rsidR="00C5557E" w:rsidRDefault="00C5557E" w:rsidP="00A82F57">
            <w:pPr>
              <w:contextualSpacing/>
            </w:pPr>
            <w:r>
              <w:t>Fact investigation</w:t>
            </w:r>
          </w:p>
        </w:tc>
        <w:tc>
          <w:tcPr>
            <w:tcW w:w="3600" w:type="dxa"/>
          </w:tcPr>
          <w:p w14:paraId="1DC48C56" w14:textId="77777777" w:rsidR="00C5557E" w:rsidRDefault="00C5557E" w:rsidP="00A82F57">
            <w:pPr>
              <w:contextualSpacing/>
            </w:pPr>
            <w:r>
              <w:t>Community Education</w:t>
            </w:r>
          </w:p>
        </w:tc>
      </w:tr>
    </w:tbl>
    <w:p w14:paraId="048A746E" w14:textId="77777777" w:rsidR="00C646CA" w:rsidRDefault="00C646CA" w:rsidP="00F16500">
      <w:pPr>
        <w:spacing w:after="0" w:line="240" w:lineRule="auto"/>
        <w:contextualSpacing/>
      </w:pPr>
    </w:p>
    <w:p w14:paraId="7BDA3F88" w14:textId="498D7FB5" w:rsidR="001A58CD" w:rsidRPr="00787970" w:rsidRDefault="001A58CD" w:rsidP="00F16500">
      <w:pPr>
        <w:spacing w:after="0" w:line="240" w:lineRule="auto"/>
        <w:contextualSpacing/>
        <w:rPr>
          <w:b/>
        </w:rPr>
      </w:pPr>
      <w:r w:rsidRPr="00787970">
        <w:rPr>
          <w:b/>
        </w:rPr>
        <w:t>TYPICAL WORK SCHEDULE</w:t>
      </w:r>
    </w:p>
    <w:p w14:paraId="3E326209" w14:textId="15C64079" w:rsidR="00A74194" w:rsidRDefault="00A74194" w:rsidP="007B0897">
      <w:pPr>
        <w:spacing w:after="0" w:line="240" w:lineRule="auto"/>
        <w:contextualSpacing/>
      </w:pPr>
      <w:r>
        <w:t xml:space="preserve">Students </w:t>
      </w:r>
      <w:r w:rsidR="007B0897">
        <w:t xml:space="preserve">determine a regular work schedule with the site supervisor.  Most placements are flexible about specific days/times so long as they </w:t>
      </w:r>
      <w:r w:rsidR="005C6546">
        <w:t>are</w:t>
      </w:r>
      <w:r w:rsidR="007B0897">
        <w:t xml:space="preserve"> during the traditional 9:00-5:00 work week.  Depending on the host placement, some or all work may be virtual.  Typically, students who are working fully in-person prefer to schedule two full days per week; virtual work allows for more flexibility.  However, a regular and consistent schedule is recommended.   </w:t>
      </w:r>
    </w:p>
    <w:sectPr w:rsidR="00A74194" w:rsidSect="00A40127">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74E98" w14:textId="77777777" w:rsidR="00787970" w:rsidRDefault="00787970" w:rsidP="00787970">
      <w:pPr>
        <w:spacing w:after="0" w:line="240" w:lineRule="auto"/>
      </w:pPr>
      <w:r>
        <w:separator/>
      </w:r>
    </w:p>
  </w:endnote>
  <w:endnote w:type="continuationSeparator" w:id="0">
    <w:p w14:paraId="39CD6252" w14:textId="77777777" w:rsidR="00787970" w:rsidRDefault="00787970" w:rsidP="00787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590A8C28" w14:paraId="4DE56761" w14:textId="77777777" w:rsidTr="590A8C28">
      <w:trPr>
        <w:trHeight w:val="300"/>
      </w:trPr>
      <w:tc>
        <w:tcPr>
          <w:tcW w:w="3120" w:type="dxa"/>
        </w:tcPr>
        <w:p w14:paraId="1DBEB3F6" w14:textId="3E16444F" w:rsidR="590A8C28" w:rsidRDefault="590A8C28" w:rsidP="590A8C28">
          <w:pPr>
            <w:pStyle w:val="Header"/>
            <w:ind w:left="-115"/>
          </w:pPr>
        </w:p>
      </w:tc>
      <w:tc>
        <w:tcPr>
          <w:tcW w:w="3120" w:type="dxa"/>
        </w:tcPr>
        <w:p w14:paraId="53DF35E4" w14:textId="3E961CE3" w:rsidR="590A8C28" w:rsidRDefault="590A8C28" w:rsidP="590A8C28">
          <w:pPr>
            <w:pStyle w:val="Header"/>
            <w:jc w:val="center"/>
          </w:pPr>
        </w:p>
      </w:tc>
      <w:tc>
        <w:tcPr>
          <w:tcW w:w="3120" w:type="dxa"/>
        </w:tcPr>
        <w:p w14:paraId="241DB90A" w14:textId="1D835050" w:rsidR="590A8C28" w:rsidRDefault="590A8C28" w:rsidP="590A8C28">
          <w:pPr>
            <w:pStyle w:val="Header"/>
            <w:ind w:right="-115"/>
            <w:jc w:val="right"/>
          </w:pPr>
        </w:p>
      </w:tc>
    </w:tr>
  </w:tbl>
  <w:p w14:paraId="43834023" w14:textId="0F6B7708" w:rsidR="590A8C28" w:rsidRDefault="590A8C28" w:rsidP="590A8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0DBA5" w14:textId="77777777" w:rsidR="00787970" w:rsidRDefault="00787970" w:rsidP="00787970">
      <w:pPr>
        <w:spacing w:after="0" w:line="240" w:lineRule="auto"/>
      </w:pPr>
      <w:r>
        <w:separator/>
      </w:r>
    </w:p>
  </w:footnote>
  <w:footnote w:type="continuationSeparator" w:id="0">
    <w:p w14:paraId="210BEC04" w14:textId="77777777" w:rsidR="00787970" w:rsidRDefault="00787970" w:rsidP="00787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C4A87" w14:textId="0C324928" w:rsidR="590A8C28" w:rsidRDefault="000229F0" w:rsidP="590A8C28">
    <w:pPr>
      <w:spacing w:after="0" w:line="240" w:lineRule="auto"/>
      <w:contextualSpacing/>
      <w:jc w:val="center"/>
    </w:pPr>
    <w:r>
      <w:t>CHILD ADVOCACY CLNIC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12DC1"/>
    <w:multiLevelType w:val="multilevel"/>
    <w:tmpl w:val="06C8A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E8"/>
    <w:rsid w:val="000229F0"/>
    <w:rsid w:val="000A4BB9"/>
    <w:rsid w:val="001A58CD"/>
    <w:rsid w:val="0030348D"/>
    <w:rsid w:val="003D4DDB"/>
    <w:rsid w:val="005B7CCE"/>
    <w:rsid w:val="005C6546"/>
    <w:rsid w:val="00625CAF"/>
    <w:rsid w:val="00714667"/>
    <w:rsid w:val="00715325"/>
    <w:rsid w:val="00787970"/>
    <w:rsid w:val="007B0897"/>
    <w:rsid w:val="0087280A"/>
    <w:rsid w:val="00A40127"/>
    <w:rsid w:val="00A74194"/>
    <w:rsid w:val="00AC03C6"/>
    <w:rsid w:val="00B83133"/>
    <w:rsid w:val="00C53D72"/>
    <w:rsid w:val="00C5557E"/>
    <w:rsid w:val="00C646CA"/>
    <w:rsid w:val="00D709E8"/>
    <w:rsid w:val="00D86287"/>
    <w:rsid w:val="00E3007E"/>
    <w:rsid w:val="00E80B49"/>
    <w:rsid w:val="00F16500"/>
    <w:rsid w:val="00FC4200"/>
    <w:rsid w:val="24AF26DC"/>
    <w:rsid w:val="590A8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4C08"/>
  <w15:chartTrackingRefBased/>
  <w15:docId w15:val="{D73F85F7-0864-4DBB-9D49-AD54007C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4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7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970"/>
  </w:style>
  <w:style w:type="paragraph" w:styleId="Footer">
    <w:name w:val="footer"/>
    <w:basedOn w:val="Normal"/>
    <w:link w:val="FooterChar"/>
    <w:uiPriority w:val="99"/>
    <w:unhideWhenUsed/>
    <w:rsid w:val="00787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970"/>
  </w:style>
  <w:style w:type="character" w:styleId="Hyperlink">
    <w:name w:val="Hyperlink"/>
    <w:basedOn w:val="DefaultParagraphFont"/>
    <w:uiPriority w:val="99"/>
    <w:unhideWhenUsed/>
    <w:rsid w:val="000A4BB9"/>
    <w:rPr>
      <w:color w:val="0563C1" w:themeColor="hyperlink"/>
      <w:u w:val="single"/>
    </w:rPr>
  </w:style>
  <w:style w:type="character" w:customStyle="1" w:styleId="UnresolvedMention">
    <w:name w:val="Unresolved Mention"/>
    <w:basedOn w:val="DefaultParagraphFont"/>
    <w:uiPriority w:val="99"/>
    <w:semiHidden/>
    <w:unhideWhenUsed/>
    <w:rsid w:val="000A4BB9"/>
    <w:rPr>
      <w:color w:val="605E5C"/>
      <w:shd w:val="clear" w:color="auto" w:fill="E1DFDD"/>
    </w:rPr>
  </w:style>
  <w:style w:type="paragraph" w:styleId="NormalWeb">
    <w:name w:val="Normal (Web)"/>
    <w:basedOn w:val="Normal"/>
    <w:uiPriority w:val="99"/>
    <w:unhideWhenUsed/>
    <w:rsid w:val="000229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29F0"/>
    <w:rPr>
      <w:b/>
      <w:bCs/>
    </w:rPr>
  </w:style>
  <w:style w:type="character" w:styleId="FollowedHyperlink">
    <w:name w:val="FollowedHyperlink"/>
    <w:basedOn w:val="DefaultParagraphFont"/>
    <w:uiPriority w:val="99"/>
    <w:semiHidden/>
    <w:unhideWhenUsed/>
    <w:rsid w:val="000229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377723">
      <w:bodyDiv w:val="1"/>
      <w:marLeft w:val="0"/>
      <w:marRight w:val="0"/>
      <w:marTop w:val="0"/>
      <w:marBottom w:val="0"/>
      <w:divBdr>
        <w:top w:val="none" w:sz="0" w:space="0" w:color="auto"/>
        <w:left w:val="none" w:sz="0" w:space="0" w:color="auto"/>
        <w:bottom w:val="none" w:sz="0" w:space="0" w:color="auto"/>
        <w:right w:val="none" w:sz="0" w:space="0" w:color="auto"/>
      </w:divBdr>
      <w:divsChild>
        <w:div w:id="1818062440">
          <w:marLeft w:val="0"/>
          <w:marRight w:val="0"/>
          <w:marTop w:val="0"/>
          <w:marBottom w:val="0"/>
          <w:divBdr>
            <w:top w:val="none" w:sz="0" w:space="0" w:color="auto"/>
            <w:left w:val="none" w:sz="0" w:space="0" w:color="auto"/>
            <w:bottom w:val="none" w:sz="0" w:space="0" w:color="auto"/>
            <w:right w:val="none" w:sz="0" w:space="0" w:color="auto"/>
          </w:divBdr>
        </w:div>
      </w:divsChild>
    </w:div>
    <w:div w:id="1402681389">
      <w:bodyDiv w:val="1"/>
      <w:marLeft w:val="0"/>
      <w:marRight w:val="0"/>
      <w:marTop w:val="0"/>
      <w:marBottom w:val="0"/>
      <w:divBdr>
        <w:top w:val="none" w:sz="0" w:space="0" w:color="auto"/>
        <w:left w:val="none" w:sz="0" w:space="0" w:color="auto"/>
        <w:bottom w:val="none" w:sz="0" w:space="0" w:color="auto"/>
        <w:right w:val="none" w:sz="0" w:space="0" w:color="auto"/>
      </w:divBdr>
      <w:divsChild>
        <w:div w:id="460074396">
          <w:marLeft w:val="0"/>
          <w:marRight w:val="0"/>
          <w:marTop w:val="0"/>
          <w:marBottom w:val="0"/>
          <w:divBdr>
            <w:top w:val="none" w:sz="0" w:space="0" w:color="auto"/>
            <w:left w:val="none" w:sz="0" w:space="0" w:color="auto"/>
            <w:bottom w:val="none" w:sz="0" w:space="0" w:color="auto"/>
            <w:right w:val="none" w:sz="0" w:space="0" w:color="auto"/>
          </w:divBdr>
        </w:div>
      </w:divsChild>
    </w:div>
    <w:div w:id="1621573364">
      <w:bodyDiv w:val="1"/>
      <w:marLeft w:val="0"/>
      <w:marRight w:val="0"/>
      <w:marTop w:val="0"/>
      <w:marBottom w:val="0"/>
      <w:divBdr>
        <w:top w:val="none" w:sz="0" w:space="0" w:color="auto"/>
        <w:left w:val="none" w:sz="0" w:space="0" w:color="auto"/>
        <w:bottom w:val="none" w:sz="0" w:space="0" w:color="auto"/>
        <w:right w:val="none" w:sz="0" w:space="0" w:color="auto"/>
      </w:divBdr>
      <w:divsChild>
        <w:div w:id="2065516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8AD2A824334E4982171CD9396D59A5" ma:contentTypeVersion="15" ma:contentTypeDescription="Create a new document." ma:contentTypeScope="" ma:versionID="8fb75f198911577cad0cf9b70d67bccb">
  <xsd:schema xmlns:xsd="http://www.w3.org/2001/XMLSchema" xmlns:xs="http://www.w3.org/2001/XMLSchema" xmlns:p="http://schemas.microsoft.com/office/2006/metadata/properties" xmlns:ns2="503695ed-f6de-4767-af52-1df65692426b" xmlns:ns3="c3703092-74e5-4148-9481-13c6876a4c48" targetNamespace="http://schemas.microsoft.com/office/2006/metadata/properties" ma:root="true" ma:fieldsID="8b600e8b930457b7b039e21c1916b7d6" ns2:_="" ns3:_="">
    <xsd:import namespace="503695ed-f6de-4767-af52-1df65692426b"/>
    <xsd:import namespace="c3703092-74e5-4148-9481-13c6876a4c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695ed-f6de-4767-af52-1df656924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703092-74e5-4148-9481-13c6876a4c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5b01d-97eb-40ef-98ca-68d5493a6a2c}" ma:internalName="TaxCatchAll" ma:showField="CatchAllData" ma:web="c3703092-74e5-4148-9481-13c6876a4c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3703092-74e5-4148-9481-13c6876a4c48" xsi:nil="true"/>
    <lcf76f155ced4ddcb4097134ff3c332f xmlns="503695ed-f6de-4767-af52-1df6569242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CB57826-1505-4CB9-914B-39833B42859E}"/>
</file>

<file path=customXml/itemProps2.xml><?xml version="1.0" encoding="utf-8"?>
<ds:datastoreItem xmlns:ds="http://schemas.openxmlformats.org/officeDocument/2006/customXml" ds:itemID="{CC8846F4-790C-46B9-8504-2EEFFD8666BC}">
  <ds:schemaRefs>
    <ds:schemaRef ds:uri="http://schemas.microsoft.com/sharepoint/v3/contenttype/forms"/>
  </ds:schemaRefs>
</ds:datastoreItem>
</file>

<file path=customXml/itemProps3.xml><?xml version="1.0" encoding="utf-8"?>
<ds:datastoreItem xmlns:ds="http://schemas.openxmlformats.org/officeDocument/2006/customXml" ds:itemID="{82017961-8A30-4040-A6AD-06C6812F1540}">
  <ds:schemaRefs>
    <ds:schemaRef ds:uri="http://purl.org/dc/terms/"/>
    <ds:schemaRef ds:uri="http://schemas.microsoft.com/office/2006/metadata/properties"/>
    <ds:schemaRef ds:uri="c7524650-eb8d-43b5-8879-536f50440669"/>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7e5be03f-9e15-4d2c-a2a0-bd02bebca8b6"/>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HLS</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 Maggie</dc:creator>
  <cp:keywords/>
  <dc:description/>
  <cp:lastModifiedBy>Bay, Maggie</cp:lastModifiedBy>
  <cp:revision>4</cp:revision>
  <dcterms:created xsi:type="dcterms:W3CDTF">2023-03-15T15:54:00Z</dcterms:created>
  <dcterms:modified xsi:type="dcterms:W3CDTF">2023-03-17T14:32:00Z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0x010100B68AD2A824334E4982171CD9396D59A5</vt:lpwstr>
  </property>
  <property fmtid="{D5CDD505-2E9C-101B-9397-08002B2CF9AE}" pid="3" name="MediaServiceImageTags">
    <vt:lpwstr/>
  </property>
</Properties>
</file>