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D24" w:rsidRPr="00302B66" w:rsidRDefault="00BF5BD0" w:rsidP="00290772">
      <w:pPr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 w:rsidRPr="00302B66">
        <w:rPr>
          <w:rFonts w:ascii="Arial" w:hAnsi="Arial" w:cs="Arial"/>
          <w:b/>
          <w:sz w:val="28"/>
          <w:szCs w:val="28"/>
        </w:rPr>
        <w:t xml:space="preserve">PERSONAL </w:t>
      </w:r>
      <w:r w:rsidR="001C3D24" w:rsidRPr="00302B66">
        <w:rPr>
          <w:rFonts w:ascii="Arial" w:hAnsi="Arial" w:cs="Arial"/>
          <w:b/>
          <w:sz w:val="28"/>
          <w:szCs w:val="28"/>
        </w:rPr>
        <w:t>CONFLICT</w:t>
      </w:r>
      <w:r w:rsidR="00290772" w:rsidRPr="00302B66">
        <w:rPr>
          <w:rFonts w:ascii="Arial" w:hAnsi="Arial" w:cs="Arial"/>
          <w:b/>
          <w:sz w:val="28"/>
          <w:szCs w:val="28"/>
        </w:rPr>
        <w:t xml:space="preserve">S </w:t>
      </w:r>
      <w:r w:rsidRPr="00302B66">
        <w:rPr>
          <w:rFonts w:ascii="Arial" w:hAnsi="Arial" w:cs="Arial"/>
          <w:b/>
          <w:sz w:val="28"/>
          <w:szCs w:val="28"/>
        </w:rPr>
        <w:t>LOG</w:t>
      </w:r>
    </w:p>
    <w:p w:rsidR="00AD3435" w:rsidRPr="00B3069B" w:rsidRDefault="00AD3435" w:rsidP="00290772">
      <w:pPr>
        <w:ind w:left="720" w:hanging="720"/>
        <w:jc w:val="center"/>
        <w:rPr>
          <w:rFonts w:ascii="Arial" w:hAnsi="Arial" w:cs="Arial"/>
          <w:b/>
        </w:rPr>
      </w:pPr>
    </w:p>
    <w:p w:rsidR="00BF5BD0" w:rsidRPr="00B3069B" w:rsidRDefault="00290772" w:rsidP="00BF5BD0">
      <w:pPr>
        <w:rPr>
          <w:rFonts w:ascii="Arial" w:hAnsi="Arial" w:cs="Arial"/>
        </w:rPr>
      </w:pPr>
      <w:r w:rsidRPr="00B3069B">
        <w:rPr>
          <w:rFonts w:ascii="Arial" w:hAnsi="Arial" w:cs="Arial"/>
        </w:rPr>
        <w:t>You are strongly advised to keep a conflicts log from the moment you begin to engage in the student practice of law.</w:t>
      </w:r>
      <w:r w:rsidR="000B0282">
        <w:rPr>
          <w:rFonts w:ascii="Arial" w:hAnsi="Arial" w:cs="Arial"/>
        </w:rPr>
        <w:t xml:space="preserve"> </w:t>
      </w:r>
      <w:r w:rsidR="00327A6A" w:rsidRPr="00B3069B">
        <w:rPr>
          <w:rFonts w:ascii="Arial" w:hAnsi="Arial" w:cs="Arial"/>
        </w:rPr>
        <w:t>Before hiring you as a lawyer, a law firm/organization may ask you for a list of the matters on which you have ever worked as a law student or lawyer.</w:t>
      </w:r>
      <w:r w:rsidR="000B0282">
        <w:rPr>
          <w:rFonts w:ascii="Arial" w:hAnsi="Arial" w:cs="Arial"/>
        </w:rPr>
        <w:t xml:space="preserve"> </w:t>
      </w:r>
      <w:r w:rsidR="00B16122" w:rsidRPr="00B3069B">
        <w:rPr>
          <w:rFonts w:ascii="Arial" w:hAnsi="Arial" w:cs="Arial"/>
        </w:rPr>
        <w:t>Your former employers/clinics/external placements may be unable or unwilling to help you prepare a list or may not be able to respon</w:t>
      </w:r>
      <w:r w:rsidR="00302B66" w:rsidRPr="00B3069B">
        <w:rPr>
          <w:rFonts w:ascii="Arial" w:hAnsi="Arial" w:cs="Arial"/>
        </w:rPr>
        <w:t>d</w:t>
      </w:r>
      <w:r w:rsidR="000B0282">
        <w:rPr>
          <w:rFonts w:ascii="Arial" w:hAnsi="Arial" w:cs="Arial"/>
        </w:rPr>
        <w:t xml:space="preserve"> in the time you need. </w:t>
      </w:r>
      <w:r w:rsidR="00B16122" w:rsidRPr="00B3069B">
        <w:rPr>
          <w:rFonts w:ascii="Arial" w:hAnsi="Arial" w:cs="Arial"/>
        </w:rPr>
        <w:t>The best approach is to cr</w:t>
      </w:r>
      <w:r w:rsidR="000B0282">
        <w:rPr>
          <w:rFonts w:ascii="Arial" w:hAnsi="Arial" w:cs="Arial"/>
        </w:rPr>
        <w:t xml:space="preserve">eate a contemporaneous record. </w:t>
      </w:r>
      <w:r w:rsidRPr="00B3069B">
        <w:rPr>
          <w:rFonts w:ascii="Arial" w:hAnsi="Arial" w:cs="Arial"/>
        </w:rPr>
        <w:t>This will facilitate conflict checking as you move from clinic to clinic or SPO, and as you move between various summer internships</w:t>
      </w:r>
      <w:r w:rsidR="00302B66" w:rsidRPr="00B3069B">
        <w:rPr>
          <w:rFonts w:ascii="Arial" w:hAnsi="Arial" w:cs="Arial"/>
        </w:rPr>
        <w:t xml:space="preserve"> </w:t>
      </w:r>
      <w:r w:rsidRPr="00B3069B">
        <w:rPr>
          <w:rFonts w:ascii="Arial" w:hAnsi="Arial" w:cs="Arial"/>
        </w:rPr>
        <w:t xml:space="preserve">and employers in the future.  </w:t>
      </w:r>
    </w:p>
    <w:p w:rsidR="009C09BC" w:rsidRPr="00B3069B" w:rsidRDefault="00290772" w:rsidP="00290772">
      <w:pPr>
        <w:rPr>
          <w:rFonts w:ascii="Arial" w:hAnsi="Arial" w:cs="Arial"/>
        </w:rPr>
      </w:pPr>
      <w:r w:rsidRPr="00B3069B">
        <w:rPr>
          <w:rFonts w:ascii="Arial" w:hAnsi="Arial" w:cs="Arial"/>
        </w:rPr>
        <w:t xml:space="preserve">This log likely captures more information than you will share </w:t>
      </w:r>
      <w:r w:rsidR="00BF5BD0" w:rsidRPr="00B3069B">
        <w:rPr>
          <w:rFonts w:ascii="Arial" w:hAnsi="Arial" w:cs="Arial"/>
        </w:rPr>
        <w:t>with any new clinic, employer or organization where you plan to volunteer</w:t>
      </w:r>
      <w:r w:rsidRPr="00B3069B">
        <w:rPr>
          <w:rFonts w:ascii="Arial" w:hAnsi="Arial" w:cs="Arial"/>
        </w:rPr>
        <w:t xml:space="preserve"> – but </w:t>
      </w:r>
      <w:r w:rsidR="00BF5BD0" w:rsidRPr="00B3069B">
        <w:rPr>
          <w:rFonts w:ascii="Arial" w:hAnsi="Arial" w:cs="Arial"/>
        </w:rPr>
        <w:t xml:space="preserve">it </w:t>
      </w:r>
      <w:r w:rsidRPr="00B3069B">
        <w:rPr>
          <w:rFonts w:ascii="Arial" w:hAnsi="Arial" w:cs="Arial"/>
        </w:rPr>
        <w:t xml:space="preserve">will enable you to more easily resolve potential </w:t>
      </w:r>
      <w:r w:rsidR="000B0282">
        <w:rPr>
          <w:rFonts w:ascii="Arial" w:hAnsi="Arial" w:cs="Arial"/>
        </w:rPr>
        <w:t xml:space="preserve">conflicts that are identified. </w:t>
      </w:r>
      <w:r w:rsidRPr="00B3069B">
        <w:rPr>
          <w:rFonts w:ascii="Arial" w:hAnsi="Arial" w:cs="Arial"/>
        </w:rPr>
        <w:t xml:space="preserve">E.g., a prospective employer may have a client with the same name </w:t>
      </w:r>
      <w:r w:rsidR="000B0282">
        <w:rPr>
          <w:rFonts w:ascii="Arial" w:hAnsi="Arial" w:cs="Arial"/>
        </w:rPr>
        <w:t xml:space="preserve">but different adverse parties. </w:t>
      </w:r>
      <w:r w:rsidR="00BF5BD0" w:rsidRPr="00B3069B">
        <w:rPr>
          <w:rFonts w:ascii="Arial" w:hAnsi="Arial" w:cs="Arial"/>
        </w:rPr>
        <w:t xml:space="preserve">When you need to provide conflict information to a new organization, you should not provide </w:t>
      </w:r>
      <w:r w:rsidR="009318F5" w:rsidRPr="00B3069B">
        <w:rPr>
          <w:rFonts w:ascii="Arial" w:hAnsi="Arial" w:cs="Arial"/>
        </w:rPr>
        <w:t xml:space="preserve">your Personal Conflicts Log </w:t>
      </w:r>
      <w:r w:rsidR="00BF5BD0" w:rsidRPr="00B3069B">
        <w:rPr>
          <w:rFonts w:ascii="Arial" w:hAnsi="Arial" w:cs="Arial"/>
        </w:rPr>
        <w:t xml:space="preserve">as it will likely contain more information than </w:t>
      </w:r>
      <w:r w:rsidR="00ED4BB2">
        <w:rPr>
          <w:rFonts w:ascii="Arial" w:hAnsi="Arial" w:cs="Arial"/>
        </w:rPr>
        <w:t xml:space="preserve">you should be sharing. </w:t>
      </w:r>
      <w:bookmarkStart w:id="0" w:name="_GoBack"/>
      <w:bookmarkEnd w:id="0"/>
      <w:r w:rsidR="00BF5BD0" w:rsidRPr="00B3069B">
        <w:rPr>
          <w:rFonts w:ascii="Arial" w:hAnsi="Arial" w:cs="Arial"/>
        </w:rPr>
        <w:t xml:space="preserve">Rather, you should use </w:t>
      </w:r>
      <w:r w:rsidR="009318F5" w:rsidRPr="00B3069B">
        <w:rPr>
          <w:rFonts w:ascii="Arial" w:hAnsi="Arial" w:cs="Arial"/>
        </w:rPr>
        <w:t xml:space="preserve">this Log </w:t>
      </w:r>
      <w:r w:rsidR="00BF5BD0" w:rsidRPr="00B3069B">
        <w:rPr>
          <w:rFonts w:ascii="Arial" w:hAnsi="Arial" w:cs="Arial"/>
        </w:rPr>
        <w:t xml:space="preserve">to tailor a new document that is responsive to the </w:t>
      </w:r>
      <w:r w:rsidR="009318F5" w:rsidRPr="00B3069B">
        <w:rPr>
          <w:rFonts w:ascii="Arial" w:hAnsi="Arial" w:cs="Arial"/>
        </w:rPr>
        <w:t>request for conflicts information, and is in line with your ethical duties around how much and when to share information.</w:t>
      </w:r>
      <w:r w:rsidR="00ED4BB2">
        <w:rPr>
          <w:rFonts w:ascii="Arial" w:hAnsi="Arial" w:cs="Arial"/>
        </w:rPr>
        <w:t xml:space="preserve"> </w:t>
      </w:r>
      <w:r w:rsidR="00B16122" w:rsidRPr="00B3069B">
        <w:rPr>
          <w:rFonts w:ascii="Arial" w:hAnsi="Arial" w:cs="Arial"/>
        </w:rPr>
        <w:t xml:space="preserve">You may disclose information </w:t>
      </w:r>
      <w:r w:rsidR="00302B66" w:rsidRPr="00B3069B">
        <w:rPr>
          <w:rFonts w:ascii="Arial" w:hAnsi="Arial" w:cs="Arial"/>
        </w:rPr>
        <w:t>t</w:t>
      </w:r>
      <w:r w:rsidR="00B16122" w:rsidRPr="00B3069B">
        <w:rPr>
          <w:rFonts w:ascii="Arial" w:hAnsi="Arial" w:cs="Arial"/>
        </w:rPr>
        <w:t>o your potential employer but only to the extent necessary to determine whether your employment would create any conflicts if the firm</w:t>
      </w:r>
      <w:r w:rsidR="00302B66" w:rsidRPr="00B3069B">
        <w:rPr>
          <w:rFonts w:ascii="Arial" w:hAnsi="Arial" w:cs="Arial"/>
        </w:rPr>
        <w:t>/organization</w:t>
      </w:r>
      <w:r w:rsidR="00ED4BB2">
        <w:rPr>
          <w:rFonts w:ascii="Arial" w:hAnsi="Arial" w:cs="Arial"/>
        </w:rPr>
        <w:t xml:space="preserve"> hired you. </w:t>
      </w:r>
      <w:r w:rsidR="00B16122" w:rsidRPr="00B3069B">
        <w:rPr>
          <w:rFonts w:ascii="Arial" w:hAnsi="Arial" w:cs="Arial"/>
        </w:rPr>
        <w:t xml:space="preserve">For what and how to disclose, see </w:t>
      </w:r>
      <w:hyperlink r:id="rId4" w:history="1">
        <w:r w:rsidR="00594318" w:rsidRPr="000B0282">
          <w:rPr>
            <w:rStyle w:val="Hyperlink"/>
            <w:rFonts w:ascii="Arial" w:hAnsi="Arial" w:cs="Arial"/>
          </w:rPr>
          <w:t>Massachusetts Rules of Professional Conduct, Rule 1.6(b</w:t>
        </w:r>
        <w:proofErr w:type="gramStart"/>
        <w:r w:rsidR="00594318" w:rsidRPr="000B0282">
          <w:rPr>
            <w:rStyle w:val="Hyperlink"/>
            <w:rFonts w:ascii="Arial" w:hAnsi="Arial" w:cs="Arial"/>
          </w:rPr>
          <w:t>)(</w:t>
        </w:r>
        <w:proofErr w:type="gramEnd"/>
        <w:r w:rsidR="00594318" w:rsidRPr="000B0282">
          <w:rPr>
            <w:rStyle w:val="Hyperlink"/>
            <w:rFonts w:ascii="Arial" w:hAnsi="Arial" w:cs="Arial"/>
          </w:rPr>
          <w:t>7)</w:t>
        </w:r>
        <w:r w:rsidR="00B3069B" w:rsidRPr="000B0282">
          <w:rPr>
            <w:rStyle w:val="Hyperlink"/>
            <w:rFonts w:ascii="Arial" w:hAnsi="Arial" w:cs="Arial"/>
          </w:rPr>
          <w:t xml:space="preserve"> and Comments 13 and 14</w:t>
        </w:r>
      </w:hyperlink>
      <w:r w:rsidR="00594318" w:rsidRPr="00B3069B">
        <w:rPr>
          <w:rFonts w:ascii="Arial" w:hAnsi="Arial" w:cs="Arial"/>
        </w:rPr>
        <w:t xml:space="preserve">, and </w:t>
      </w:r>
      <w:hyperlink r:id="rId5" w:history="1">
        <w:r w:rsidR="00C34997" w:rsidRPr="000B0282">
          <w:rPr>
            <w:rStyle w:val="Hyperlink"/>
            <w:rFonts w:ascii="Arial" w:hAnsi="Arial" w:cs="Arial"/>
          </w:rPr>
          <w:t>Boston Bar Association</w:t>
        </w:r>
        <w:r w:rsidR="00594318" w:rsidRPr="000B0282">
          <w:rPr>
            <w:rStyle w:val="Hyperlink"/>
            <w:rFonts w:ascii="Arial" w:hAnsi="Arial" w:cs="Arial"/>
          </w:rPr>
          <w:t xml:space="preserve"> Ethics Committee Opinion 2004-1</w:t>
        </w:r>
      </w:hyperlink>
      <w:r w:rsidR="00B3069B" w:rsidRPr="00B3069B">
        <w:rPr>
          <w:rFonts w:ascii="Arial" w:hAnsi="Arial" w:cs="Arial"/>
        </w:rPr>
        <w:t>.</w:t>
      </w:r>
    </w:p>
    <w:p w:rsidR="009769BC" w:rsidRPr="00B3069B" w:rsidRDefault="009769BC" w:rsidP="00290772">
      <w:pPr>
        <w:rPr>
          <w:rFonts w:ascii="Arial" w:hAnsi="Arial" w:cs="Arial"/>
        </w:rPr>
      </w:pPr>
      <w:r w:rsidRPr="00B3069B">
        <w:rPr>
          <w:rFonts w:ascii="Arial" w:hAnsi="Arial" w:cs="Arial"/>
        </w:rPr>
        <w:t xml:space="preserve">While maintaining this form might strike you as a chore, doing so is imperative to ensure compliance with a lawyer’s duty of </w:t>
      </w:r>
      <w:r w:rsidR="00B3069B">
        <w:rPr>
          <w:rFonts w:ascii="Arial" w:hAnsi="Arial" w:cs="Arial"/>
        </w:rPr>
        <w:t xml:space="preserve">confidentiality and </w:t>
      </w:r>
      <w:r w:rsidRPr="00B3069B">
        <w:rPr>
          <w:rFonts w:ascii="Arial" w:hAnsi="Arial" w:cs="Arial"/>
        </w:rPr>
        <w:t>loyalty under the rules o</w:t>
      </w:r>
      <w:r w:rsidR="000B0282">
        <w:rPr>
          <w:rFonts w:ascii="Arial" w:hAnsi="Arial" w:cs="Arial"/>
        </w:rPr>
        <w:t xml:space="preserve">f professional responsibility. </w:t>
      </w:r>
      <w:r w:rsidRPr="00B3069B">
        <w:rPr>
          <w:rFonts w:ascii="Arial" w:hAnsi="Arial" w:cs="Arial"/>
        </w:rPr>
        <w:t>Before undertaking any particular legal assignment, if there is a high risk that that it might preclude future employment, you should consider asking your employer not to assign you to the matter for that reason</w:t>
      </w:r>
      <w:r w:rsidR="00302B66" w:rsidRPr="00B3069B">
        <w:rPr>
          <w:rFonts w:ascii="Arial" w:hAnsi="Arial" w:cs="Arial"/>
        </w:rPr>
        <w:t xml:space="preserve">.  </w:t>
      </w:r>
      <w:r w:rsidRPr="00B3069B">
        <w:rPr>
          <w:rFonts w:ascii="Arial" w:hAnsi="Arial" w:cs="Arial"/>
        </w:rPr>
        <w:t>We do not foresee this happening often, but, for example, if you are clerking for Firm A in the first half of the summer and Firm B in the second half, you may not want to work on a problem at Firm A where firm B is on the other side.</w:t>
      </w:r>
    </w:p>
    <w:p w:rsidR="000B0282" w:rsidRDefault="00B16122" w:rsidP="000B0282">
      <w:pPr>
        <w:rPr>
          <w:rFonts w:ascii="Arial" w:hAnsi="Arial" w:cs="Arial"/>
        </w:rPr>
      </w:pPr>
      <w:r w:rsidRPr="00B3069B">
        <w:rPr>
          <w:rFonts w:ascii="Arial" w:hAnsi="Arial" w:cs="Arial"/>
        </w:rPr>
        <w:t>Remember to store your Conflicts Log in a place that is password protected.</w:t>
      </w:r>
      <w:r w:rsidR="000B0282">
        <w:rPr>
          <w:rFonts w:ascii="Arial" w:hAnsi="Arial" w:cs="Arial"/>
        </w:rPr>
        <w:t xml:space="preserve"> </w:t>
      </w:r>
      <w:r w:rsidR="00302B66" w:rsidRPr="00B3069B">
        <w:rPr>
          <w:rFonts w:ascii="Arial" w:hAnsi="Arial" w:cs="Arial"/>
        </w:rPr>
        <w:t>You should also back up the program in a similarly secure way.  Be sure to record your password somewhere safe, so that you will always be able to recover your data.</w:t>
      </w:r>
    </w:p>
    <w:p w:rsidR="00B3069B" w:rsidRPr="000B0282" w:rsidRDefault="000B0282" w:rsidP="000B02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D3435" w:rsidRPr="00B3069B" w:rsidRDefault="00B3069B" w:rsidP="00B3069B">
      <w:pPr>
        <w:jc w:val="center"/>
        <w:rPr>
          <w:rFonts w:ascii="Arial" w:hAnsi="Arial" w:cs="Arial"/>
          <w:b/>
          <w:sz w:val="24"/>
          <w:szCs w:val="24"/>
        </w:rPr>
      </w:pPr>
      <w:r w:rsidRPr="00B3069B">
        <w:rPr>
          <w:rFonts w:ascii="Arial" w:hAnsi="Arial" w:cs="Arial"/>
          <w:b/>
          <w:sz w:val="24"/>
          <w:szCs w:val="24"/>
        </w:rPr>
        <w:lastRenderedPageBreak/>
        <w:t>PERSONAL CONFLICTS LOG</w:t>
      </w:r>
    </w:p>
    <w:tbl>
      <w:tblPr>
        <w:tblStyle w:val="ListTable3-Accent5"/>
        <w:tblW w:w="5000" w:type="pct"/>
        <w:tblLook w:val="04A0" w:firstRow="1" w:lastRow="0" w:firstColumn="1" w:lastColumn="0" w:noHBand="0" w:noVBand="1"/>
        <w:tblCaption w:val="Personal Conflicts Log "/>
        <w:tblDescription w:val="Table displays 4 columns to help you keep track of your legal work as a reference for conflict checks. From right to left the columns read: Employer/Clinic, Client Name, Adverse Parties/Interested Parties/Witnesses, Brief Description of Case/Matter"/>
      </w:tblPr>
      <w:tblGrid>
        <w:gridCol w:w="3294"/>
        <w:gridCol w:w="3294"/>
        <w:gridCol w:w="3294"/>
        <w:gridCol w:w="3294"/>
      </w:tblGrid>
      <w:tr w:rsidR="00AD3435" w:rsidTr="000B02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8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0" w:type="pct"/>
            <w:tcBorders>
              <w:right w:val="single" w:sz="4" w:space="0" w:color="4BACC6" w:themeColor="accent5"/>
            </w:tcBorders>
          </w:tcPr>
          <w:p w:rsidR="00AD3435" w:rsidRDefault="00AD3435" w:rsidP="00AD3435">
            <w:pPr>
              <w:jc w:val="center"/>
              <w:rPr>
                <w:rFonts w:ascii="Arial" w:hAnsi="Arial" w:cs="Arial"/>
                <w:b w:val="0"/>
              </w:rPr>
            </w:pPr>
          </w:p>
          <w:p w:rsidR="00AD3435" w:rsidRPr="00AD3435" w:rsidRDefault="00AD3435" w:rsidP="00AD3435">
            <w:pPr>
              <w:jc w:val="center"/>
              <w:rPr>
                <w:rFonts w:ascii="Arial" w:hAnsi="Arial" w:cs="Arial"/>
                <w:b w:val="0"/>
              </w:rPr>
            </w:pPr>
            <w:r w:rsidRPr="00AD3435">
              <w:rPr>
                <w:rFonts w:ascii="Arial" w:hAnsi="Arial" w:cs="Arial"/>
              </w:rPr>
              <w:t>Employer/Clinic</w:t>
            </w:r>
          </w:p>
        </w:tc>
        <w:tc>
          <w:tcPr>
            <w:tcW w:w="1100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AD3435" w:rsidRDefault="00AD3435" w:rsidP="00AD34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  <w:p w:rsidR="00AD3435" w:rsidRPr="00AD3435" w:rsidRDefault="00AD3435" w:rsidP="00AD34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AD3435">
              <w:rPr>
                <w:rFonts w:ascii="Arial" w:hAnsi="Arial" w:cs="Arial"/>
              </w:rPr>
              <w:t>Client Name</w:t>
            </w:r>
          </w:p>
        </w:tc>
        <w:tc>
          <w:tcPr>
            <w:tcW w:w="1100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AD3435" w:rsidRDefault="00AD3435" w:rsidP="00AD34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  <w:p w:rsidR="00AD3435" w:rsidRPr="00AD3435" w:rsidRDefault="00AD3435" w:rsidP="00AD34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AD3435">
              <w:rPr>
                <w:rFonts w:ascii="Arial" w:hAnsi="Arial" w:cs="Arial"/>
              </w:rPr>
              <w:t>Adverse Parties/Interested Parties/Witnesses</w:t>
            </w:r>
          </w:p>
        </w:tc>
        <w:tc>
          <w:tcPr>
            <w:tcW w:w="1100" w:type="pct"/>
            <w:tcBorders>
              <w:left w:val="single" w:sz="4" w:space="0" w:color="4BACC6" w:themeColor="accent5"/>
            </w:tcBorders>
          </w:tcPr>
          <w:p w:rsidR="00AD3435" w:rsidRDefault="00AD3435" w:rsidP="00AD34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  <w:p w:rsidR="00AD3435" w:rsidRPr="00AD3435" w:rsidRDefault="00AD3435" w:rsidP="00AD34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AD3435">
              <w:rPr>
                <w:rFonts w:ascii="Arial" w:hAnsi="Arial" w:cs="Arial"/>
              </w:rPr>
              <w:t>Brief Description of Case/Matter</w:t>
            </w:r>
          </w:p>
        </w:tc>
      </w:tr>
      <w:tr w:rsidR="00AD3435" w:rsidTr="000B0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pct"/>
            <w:tcBorders>
              <w:right w:val="single" w:sz="4" w:space="0" w:color="4BACC6" w:themeColor="accent5"/>
            </w:tcBorders>
          </w:tcPr>
          <w:p w:rsidR="00AD3435" w:rsidRPr="000B0282" w:rsidRDefault="000B0282" w:rsidP="00290772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e.g. </w:t>
            </w:r>
            <w:r w:rsidR="0063263A" w:rsidRPr="000B0282">
              <w:rPr>
                <w:rFonts w:ascii="Arial" w:hAnsi="Arial" w:cs="Arial"/>
                <w:b w:val="0"/>
              </w:rPr>
              <w:t>Harvard Legal Aid Bureau</w:t>
            </w:r>
          </w:p>
        </w:tc>
        <w:tc>
          <w:tcPr>
            <w:tcW w:w="1100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AD3435" w:rsidRDefault="000B0282" w:rsidP="00290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e.g. </w:t>
            </w:r>
            <w:r w:rsidR="0063263A">
              <w:rPr>
                <w:rFonts w:ascii="Arial" w:hAnsi="Arial" w:cs="Arial"/>
              </w:rPr>
              <w:t>Amy Smith</w:t>
            </w:r>
          </w:p>
        </w:tc>
        <w:tc>
          <w:tcPr>
            <w:tcW w:w="1100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AD3435" w:rsidRDefault="000B0282" w:rsidP="00290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e.g. </w:t>
            </w:r>
            <w:r w:rsidR="0063263A">
              <w:rPr>
                <w:rFonts w:ascii="Arial" w:hAnsi="Arial" w:cs="Arial"/>
              </w:rPr>
              <w:t>John Jones</w:t>
            </w:r>
          </w:p>
        </w:tc>
        <w:tc>
          <w:tcPr>
            <w:tcW w:w="1100" w:type="pct"/>
            <w:tcBorders>
              <w:left w:val="single" w:sz="4" w:space="0" w:color="4BACC6" w:themeColor="accent5"/>
            </w:tcBorders>
          </w:tcPr>
          <w:p w:rsidR="00AD3435" w:rsidRDefault="000B0282" w:rsidP="00632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e.g. </w:t>
            </w:r>
            <w:r w:rsidR="0063263A">
              <w:rPr>
                <w:rFonts w:ascii="Arial" w:hAnsi="Arial" w:cs="Arial"/>
              </w:rPr>
              <w:t>Divorce including custody and child support</w:t>
            </w:r>
          </w:p>
        </w:tc>
      </w:tr>
      <w:tr w:rsidR="00AD3435" w:rsidTr="000B0282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pct"/>
            <w:tcBorders>
              <w:right w:val="single" w:sz="4" w:space="0" w:color="4BACC6" w:themeColor="accent5"/>
            </w:tcBorders>
          </w:tcPr>
          <w:p w:rsidR="00AD3435" w:rsidRDefault="00AD3435" w:rsidP="00290772">
            <w:pPr>
              <w:rPr>
                <w:rFonts w:ascii="Arial" w:hAnsi="Arial" w:cs="Arial"/>
              </w:rPr>
            </w:pPr>
          </w:p>
        </w:tc>
        <w:tc>
          <w:tcPr>
            <w:tcW w:w="1100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AD3435" w:rsidRDefault="00AD3435" w:rsidP="00290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0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AD3435" w:rsidRDefault="00AD3435" w:rsidP="00290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0" w:type="pct"/>
            <w:tcBorders>
              <w:left w:val="single" w:sz="4" w:space="0" w:color="4BACC6" w:themeColor="accent5"/>
            </w:tcBorders>
          </w:tcPr>
          <w:p w:rsidR="00AD3435" w:rsidRDefault="00AD3435" w:rsidP="00290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D3435" w:rsidTr="000B0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pct"/>
            <w:tcBorders>
              <w:right w:val="single" w:sz="4" w:space="0" w:color="4BACC6" w:themeColor="accent5"/>
            </w:tcBorders>
          </w:tcPr>
          <w:p w:rsidR="00AD3435" w:rsidRDefault="00AD3435" w:rsidP="00290772">
            <w:pPr>
              <w:rPr>
                <w:rFonts w:ascii="Arial" w:hAnsi="Arial" w:cs="Arial"/>
              </w:rPr>
            </w:pPr>
          </w:p>
        </w:tc>
        <w:tc>
          <w:tcPr>
            <w:tcW w:w="1100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AD3435" w:rsidRDefault="00AD3435" w:rsidP="00290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0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AD3435" w:rsidRDefault="00AD3435" w:rsidP="00290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0" w:type="pct"/>
            <w:tcBorders>
              <w:left w:val="single" w:sz="4" w:space="0" w:color="4BACC6" w:themeColor="accent5"/>
            </w:tcBorders>
          </w:tcPr>
          <w:p w:rsidR="00AD3435" w:rsidRDefault="00AD3435" w:rsidP="00290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D3435" w:rsidTr="000B0282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pct"/>
            <w:tcBorders>
              <w:right w:val="single" w:sz="4" w:space="0" w:color="4BACC6" w:themeColor="accent5"/>
            </w:tcBorders>
          </w:tcPr>
          <w:p w:rsidR="00AD3435" w:rsidRDefault="00AD3435" w:rsidP="00290772">
            <w:pPr>
              <w:rPr>
                <w:rFonts w:ascii="Arial" w:hAnsi="Arial" w:cs="Arial"/>
              </w:rPr>
            </w:pPr>
          </w:p>
        </w:tc>
        <w:tc>
          <w:tcPr>
            <w:tcW w:w="1100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AD3435" w:rsidRDefault="00AD3435" w:rsidP="00290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0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AD3435" w:rsidRDefault="00AD3435" w:rsidP="00290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0" w:type="pct"/>
            <w:tcBorders>
              <w:left w:val="single" w:sz="4" w:space="0" w:color="4BACC6" w:themeColor="accent5"/>
            </w:tcBorders>
          </w:tcPr>
          <w:p w:rsidR="00AD3435" w:rsidRDefault="00AD3435" w:rsidP="00290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D3435" w:rsidTr="000B0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pct"/>
            <w:tcBorders>
              <w:right w:val="single" w:sz="4" w:space="0" w:color="4BACC6" w:themeColor="accent5"/>
            </w:tcBorders>
          </w:tcPr>
          <w:p w:rsidR="00AD3435" w:rsidRDefault="00AD3435" w:rsidP="00290772">
            <w:pPr>
              <w:rPr>
                <w:rFonts w:ascii="Arial" w:hAnsi="Arial" w:cs="Arial"/>
              </w:rPr>
            </w:pPr>
          </w:p>
        </w:tc>
        <w:tc>
          <w:tcPr>
            <w:tcW w:w="1100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AD3435" w:rsidRDefault="00AD3435" w:rsidP="00290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0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AD3435" w:rsidRDefault="00AD3435" w:rsidP="00290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0" w:type="pct"/>
            <w:tcBorders>
              <w:left w:val="single" w:sz="4" w:space="0" w:color="4BACC6" w:themeColor="accent5"/>
            </w:tcBorders>
          </w:tcPr>
          <w:p w:rsidR="00AD3435" w:rsidRDefault="00AD3435" w:rsidP="00290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D3435" w:rsidTr="000B0282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pct"/>
            <w:tcBorders>
              <w:right w:val="single" w:sz="4" w:space="0" w:color="4BACC6" w:themeColor="accent5"/>
            </w:tcBorders>
          </w:tcPr>
          <w:p w:rsidR="00AD3435" w:rsidRDefault="00AD3435" w:rsidP="00290772">
            <w:pPr>
              <w:rPr>
                <w:rFonts w:ascii="Arial" w:hAnsi="Arial" w:cs="Arial"/>
              </w:rPr>
            </w:pPr>
          </w:p>
        </w:tc>
        <w:tc>
          <w:tcPr>
            <w:tcW w:w="1100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AD3435" w:rsidRDefault="00AD3435" w:rsidP="00290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0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AD3435" w:rsidRDefault="00AD3435" w:rsidP="00290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0" w:type="pct"/>
            <w:tcBorders>
              <w:left w:val="single" w:sz="4" w:space="0" w:color="4BACC6" w:themeColor="accent5"/>
            </w:tcBorders>
          </w:tcPr>
          <w:p w:rsidR="00AD3435" w:rsidRDefault="00AD3435" w:rsidP="00290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D3435" w:rsidTr="000B0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pct"/>
            <w:tcBorders>
              <w:right w:val="single" w:sz="4" w:space="0" w:color="4BACC6" w:themeColor="accent5"/>
            </w:tcBorders>
          </w:tcPr>
          <w:p w:rsidR="00AD3435" w:rsidRDefault="00AD3435" w:rsidP="00290772">
            <w:pPr>
              <w:rPr>
                <w:rFonts w:ascii="Arial" w:hAnsi="Arial" w:cs="Arial"/>
              </w:rPr>
            </w:pPr>
          </w:p>
        </w:tc>
        <w:tc>
          <w:tcPr>
            <w:tcW w:w="1100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AD3435" w:rsidRDefault="00AD3435" w:rsidP="00290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0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AD3435" w:rsidRDefault="00AD3435" w:rsidP="00290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0" w:type="pct"/>
            <w:tcBorders>
              <w:left w:val="single" w:sz="4" w:space="0" w:color="4BACC6" w:themeColor="accent5"/>
            </w:tcBorders>
          </w:tcPr>
          <w:p w:rsidR="00AD3435" w:rsidRDefault="00AD3435" w:rsidP="00290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D3435" w:rsidTr="000B0282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pct"/>
            <w:tcBorders>
              <w:right w:val="single" w:sz="4" w:space="0" w:color="4BACC6" w:themeColor="accent5"/>
            </w:tcBorders>
          </w:tcPr>
          <w:p w:rsidR="00AD3435" w:rsidRDefault="00AD3435" w:rsidP="00290772">
            <w:pPr>
              <w:rPr>
                <w:rFonts w:ascii="Arial" w:hAnsi="Arial" w:cs="Arial"/>
              </w:rPr>
            </w:pPr>
          </w:p>
        </w:tc>
        <w:tc>
          <w:tcPr>
            <w:tcW w:w="1100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AD3435" w:rsidRDefault="00AD3435" w:rsidP="00290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0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AD3435" w:rsidRDefault="00AD3435" w:rsidP="00290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0" w:type="pct"/>
            <w:tcBorders>
              <w:left w:val="single" w:sz="4" w:space="0" w:color="4BACC6" w:themeColor="accent5"/>
            </w:tcBorders>
          </w:tcPr>
          <w:p w:rsidR="00AD3435" w:rsidRDefault="00AD3435" w:rsidP="00290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D3435" w:rsidTr="000B0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pct"/>
            <w:tcBorders>
              <w:right w:val="single" w:sz="4" w:space="0" w:color="4BACC6" w:themeColor="accent5"/>
            </w:tcBorders>
          </w:tcPr>
          <w:p w:rsidR="00AD3435" w:rsidRDefault="00AD3435" w:rsidP="00290772">
            <w:pPr>
              <w:rPr>
                <w:rFonts w:ascii="Arial" w:hAnsi="Arial" w:cs="Arial"/>
              </w:rPr>
            </w:pPr>
          </w:p>
        </w:tc>
        <w:tc>
          <w:tcPr>
            <w:tcW w:w="1100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AD3435" w:rsidRDefault="00AD3435" w:rsidP="00290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0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AD3435" w:rsidRDefault="00AD3435" w:rsidP="00290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0" w:type="pct"/>
            <w:tcBorders>
              <w:left w:val="single" w:sz="4" w:space="0" w:color="4BACC6" w:themeColor="accent5"/>
            </w:tcBorders>
          </w:tcPr>
          <w:p w:rsidR="00AD3435" w:rsidRDefault="00AD3435" w:rsidP="00290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B16122" w:rsidRPr="00290772" w:rsidRDefault="00B16122" w:rsidP="00290772">
      <w:pPr>
        <w:rPr>
          <w:rFonts w:ascii="Arial" w:hAnsi="Arial" w:cs="Arial"/>
        </w:rPr>
      </w:pPr>
    </w:p>
    <w:sectPr w:rsidR="00B16122" w:rsidRPr="00290772" w:rsidSect="001C3D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24"/>
    <w:rsid w:val="000B0282"/>
    <w:rsid w:val="001C3D24"/>
    <w:rsid w:val="00290772"/>
    <w:rsid w:val="00302B66"/>
    <w:rsid w:val="00327A6A"/>
    <w:rsid w:val="004351DA"/>
    <w:rsid w:val="00594318"/>
    <w:rsid w:val="0063263A"/>
    <w:rsid w:val="00912540"/>
    <w:rsid w:val="009318F5"/>
    <w:rsid w:val="009769BC"/>
    <w:rsid w:val="009C09BC"/>
    <w:rsid w:val="00A53EE7"/>
    <w:rsid w:val="00AD3435"/>
    <w:rsid w:val="00B16122"/>
    <w:rsid w:val="00B3069B"/>
    <w:rsid w:val="00BF5BD0"/>
    <w:rsid w:val="00C34997"/>
    <w:rsid w:val="00D72C69"/>
    <w:rsid w:val="00ED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37AAA-94C4-4FC7-9245-E1395432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1C3D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943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51DA"/>
    <w:rPr>
      <w:color w:val="800080" w:themeColor="followedHyperlink"/>
      <w:u w:val="single"/>
    </w:rPr>
  </w:style>
  <w:style w:type="table" w:styleId="ListTable3-Accent5">
    <w:name w:val="List Table 3 Accent 5"/>
    <w:basedOn w:val="TableNormal"/>
    <w:uiPriority w:val="48"/>
    <w:rsid w:val="000B02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stonbar.org/docs/ethics-opinions/opinion-2004-1.pdf?sfvrsn=3" TargetMode="External"/><Relationship Id="rId4" Type="http://schemas.openxmlformats.org/officeDocument/2006/relationships/hyperlink" Target="http://www.mass.gov/courts/case-legal-res/rules-of-court/sjc/sjc307-rule1-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HLS</Company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mkorta</dc:creator>
  <cp:lastModifiedBy>Ina Spaho</cp:lastModifiedBy>
  <cp:revision>2</cp:revision>
  <cp:lastPrinted>2016-02-01T14:11:00Z</cp:lastPrinted>
  <dcterms:created xsi:type="dcterms:W3CDTF">2017-09-05T15:52:00Z</dcterms:created>
  <dcterms:modified xsi:type="dcterms:W3CDTF">2017-09-05T15:52:00Z</dcterms:modified>
</cp:coreProperties>
</file>